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Pr="00C64276" w:rsidRDefault="00C1400B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0E680C">
        <w:rPr>
          <w:rFonts w:ascii="Arial" w:hAnsi="Arial" w:cs="Arial"/>
          <w:b/>
          <w:bCs/>
          <w:sz w:val="22"/>
          <w:szCs w:val="22"/>
        </w:rPr>
        <w:t>e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335F71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D131CD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sz w:val="22"/>
                <w:szCs w:val="22"/>
              </w:rPr>
              <w:t>III/1292 Obrataň, ul. Nádražní</w:t>
            </w:r>
          </w:p>
        </w:tc>
      </w:tr>
      <w:tr w:rsidR="00335F71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>1882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>58</w:t>
            </w:r>
            <w:r w:rsidR="00B538D6" w:rsidRPr="00D131CD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 w:rsidRPr="00D131CD">
              <w:rPr>
                <w:rFonts w:ascii="Arial" w:hAnsi="Arial" w:cs="Arial"/>
                <w:sz w:val="22"/>
                <w:szCs w:val="22"/>
              </w:rPr>
              <w:t>01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A46B4C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AF" w:rsidRPr="00D131CD" w:rsidRDefault="005D1521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 w:rsidRPr="00D131CD">
              <w:rPr>
                <w:rFonts w:ascii="Arial" w:eastAsia="MS Mincho" w:hAnsi="Arial" w:cs="Arial"/>
                <w:sz w:val="22"/>
                <w:szCs w:val="22"/>
              </w:rPr>
              <w:t>Ing. Martin Kukla</w:t>
            </w:r>
            <w:r w:rsidR="00C3084E" w:rsidRPr="00D131CD">
              <w:rPr>
                <w:rFonts w:ascii="Arial" w:eastAsia="MS Mincho" w:hAnsi="Arial" w:cs="Arial"/>
                <w:sz w:val="22"/>
                <w:szCs w:val="22"/>
              </w:rPr>
              <w:t>, hejtman</w:t>
            </w:r>
          </w:p>
          <w:p w:rsidR="00CD4757" w:rsidRPr="00D131CD" w:rsidRDefault="005D1521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03C33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B03C33" w:rsidRPr="00B03C33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B03C33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:rsidR="00CD4757" w:rsidRPr="00D131CD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 w:rsidRPr="00D131CD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D131CD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:rsidTr="00A46B4C">
        <w:trPr>
          <w:trHeight w:val="68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D6" w:rsidRPr="00D131CD" w:rsidRDefault="00D131CD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:rsidR="00335F71" w:rsidRPr="00D131CD" w:rsidRDefault="00B538D6" w:rsidP="00D131C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tel.: +420 564 602 </w:t>
            </w:r>
            <w:r w:rsidR="00D131CD" w:rsidRPr="00D131CD">
              <w:rPr>
                <w:rFonts w:ascii="Arial" w:hAnsi="Arial" w:cs="Arial"/>
                <w:sz w:val="22"/>
                <w:szCs w:val="22"/>
              </w:rPr>
              <w:t>378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D131CD" w:rsidRPr="00D131CD">
              <w:rPr>
                <w:rFonts w:ascii="Arial" w:hAnsi="Arial" w:cs="Arial"/>
                <w:sz w:val="22"/>
                <w:szCs w:val="22"/>
              </w:rPr>
              <w:t>prochazkova.l</w:t>
            </w:r>
            <w:r w:rsidRPr="00D131CD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B538D6" w:rsidP="00D131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="00D131CD" w:rsidRPr="00D131CD">
              <w:rPr>
                <w:rFonts w:ascii="Arial" w:hAnsi="Arial" w:cs="Arial"/>
                <w:b/>
                <w:sz w:val="22"/>
                <w:szCs w:val="22"/>
              </w:rPr>
              <w:t>Obrataň</w:t>
            </w:r>
          </w:p>
        </w:tc>
      </w:tr>
      <w:tr w:rsidR="00D67C7B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131CD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Cs/>
                <w:sz w:val="22"/>
                <w:szCs w:val="22"/>
              </w:rPr>
              <w:t>00248746</w:t>
            </w:r>
          </w:p>
        </w:tc>
      </w:tr>
      <w:tr w:rsidR="00D67C7B" w:rsidRPr="00A625BD" w:rsidTr="00A46B4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131CD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Obrataň 204, 394 12 Obrataň</w:t>
            </w:r>
          </w:p>
        </w:tc>
      </w:tr>
      <w:tr w:rsidR="00D67C7B" w:rsidRPr="00A625BD" w:rsidTr="00A46B4C">
        <w:trPr>
          <w:trHeight w:val="6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131CD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Aleš Komárek</w:t>
            </w:r>
            <w:r w:rsidR="00B538D6" w:rsidRPr="00D131CD">
              <w:rPr>
                <w:rFonts w:ascii="Arial" w:hAnsi="Arial" w:cs="Arial"/>
                <w:sz w:val="22"/>
                <w:szCs w:val="22"/>
              </w:rPr>
              <w:t>, starosta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 obce</w:t>
            </w:r>
          </w:p>
        </w:tc>
      </w:tr>
    </w:tbl>
    <w:p w:rsidR="00335F71" w:rsidRPr="00786BB8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Na základě smlouvy o společném postupu zadavatelů se výše uvedení zadavatelé dohodli, že na financování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veřejné zakázky „</w:t>
      </w:r>
      <w:r w:rsidR="00D131CD">
        <w:rPr>
          <w:rFonts w:ascii="Arial" w:hAnsi="Arial" w:cs="Arial"/>
          <w:b w:val="0"/>
          <w:sz w:val="22"/>
          <w:szCs w:val="22"/>
        </w:rPr>
        <w:t>III/1292 Obrataň, ul. Nádražní</w:t>
      </w:r>
      <w:r w:rsidRPr="00786BB8">
        <w:rPr>
          <w:rFonts w:ascii="Arial" w:hAnsi="Arial" w:cs="Arial"/>
          <w:b w:val="0"/>
          <w:sz w:val="22"/>
          <w:szCs w:val="22"/>
        </w:rPr>
        <w:t>“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se budou podílet v rozsahu prací vymezených </w:t>
      </w:r>
      <w:r w:rsidRPr="00786BB8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zadavatel č. 1 a zadavatel č. 2 dle samostatné smlouvy o dílo, uzavřené s dodavatelem vybraným na základě </w:t>
      </w:r>
      <w:r w:rsidRPr="00786BB8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D131CD">
        <w:rPr>
          <w:rFonts w:ascii="Arial" w:hAnsi="Arial" w:cs="Arial"/>
          <w:sz w:val="22"/>
          <w:szCs w:val="22"/>
        </w:rPr>
        <w:t>III/1292 Obrataň, ul. Nádražní</w:t>
      </w:r>
      <w:r>
        <w:rPr>
          <w:rFonts w:ascii="Arial" w:hAnsi="Arial" w:cs="Arial"/>
          <w:sz w:val="22"/>
          <w:szCs w:val="22"/>
        </w:rPr>
        <w:t>, v rozsahu stanoveném touto zadávací dokumentací.</w:t>
      </w:r>
    </w:p>
    <w:p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2D709E" w:rsidRPr="00D131CD" w:rsidRDefault="002D709E" w:rsidP="00D131C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P</w:t>
      </w:r>
      <w:r w:rsidR="009739D5" w:rsidRPr="00D131CD">
        <w:rPr>
          <w:rFonts w:ascii="Arial" w:hAnsi="Arial" w:cs="Arial"/>
          <w:sz w:val="22"/>
          <w:szCs w:val="22"/>
        </w:rPr>
        <w:t>ro zadavatele č. 1 budou provedeny stavební práce</w:t>
      </w:r>
      <w:r w:rsidRPr="00D131CD">
        <w:rPr>
          <w:rFonts w:ascii="Arial" w:hAnsi="Arial" w:cs="Arial"/>
          <w:sz w:val="22"/>
          <w:szCs w:val="22"/>
        </w:rPr>
        <w:t xml:space="preserve"> dle projektové dokumentace „</w:t>
      </w:r>
      <w:r w:rsidR="00D131CD" w:rsidRPr="00D131CD">
        <w:rPr>
          <w:rFonts w:ascii="Arial" w:hAnsi="Arial" w:cs="Arial"/>
          <w:sz w:val="22"/>
          <w:szCs w:val="22"/>
        </w:rPr>
        <w:t>III/1292 Obrataň, ul. Nádražní</w:t>
      </w:r>
      <w:r w:rsidRPr="00D131CD">
        <w:rPr>
          <w:rFonts w:ascii="Arial" w:hAnsi="Arial" w:cs="Arial"/>
          <w:sz w:val="22"/>
          <w:szCs w:val="22"/>
        </w:rPr>
        <w:t>“, vypracované v</w:t>
      </w:r>
      <w:r w:rsidR="00D131CD" w:rsidRPr="00D131CD">
        <w:rPr>
          <w:rFonts w:ascii="Arial" w:hAnsi="Arial" w:cs="Arial"/>
          <w:sz w:val="22"/>
          <w:szCs w:val="22"/>
        </w:rPr>
        <w:t> září 2023</w:t>
      </w:r>
      <w:r w:rsidRPr="00D131CD">
        <w:rPr>
          <w:rFonts w:ascii="Arial" w:hAnsi="Arial" w:cs="Arial"/>
          <w:sz w:val="22"/>
          <w:szCs w:val="22"/>
        </w:rPr>
        <w:t xml:space="preserve"> ve stupni projektové dokumentace pro provádění stavby (dále jen „PDPS“) společností </w:t>
      </w:r>
      <w:r w:rsidR="00D131CD" w:rsidRPr="00D131CD">
        <w:rPr>
          <w:rFonts w:ascii="Arial" w:hAnsi="Arial" w:cs="Arial"/>
          <w:sz w:val="22"/>
          <w:szCs w:val="22"/>
        </w:rPr>
        <w:t>Dopravně inženýrská kancelář,</w:t>
      </w:r>
      <w:r w:rsidRPr="00D131CD">
        <w:rPr>
          <w:rFonts w:ascii="Arial" w:hAnsi="Arial" w:cs="Arial"/>
          <w:sz w:val="22"/>
          <w:szCs w:val="22"/>
        </w:rPr>
        <w:t xml:space="preserve"> s r.o.,</w:t>
      </w:r>
      <w:r w:rsidR="00D131CD" w:rsidRPr="00D131CD">
        <w:rPr>
          <w:rFonts w:ascii="Arial" w:hAnsi="Arial" w:cs="Arial"/>
          <w:sz w:val="22"/>
          <w:szCs w:val="22"/>
        </w:rPr>
        <w:t xml:space="preserve"> se sídlem Bozděchova 1668/13a, Pražské Předměstí, 500 02 Hradec Králové</w:t>
      </w:r>
      <w:r w:rsidRPr="00D131CD">
        <w:rPr>
          <w:rFonts w:ascii="Arial" w:hAnsi="Arial" w:cs="Arial"/>
          <w:sz w:val="22"/>
          <w:szCs w:val="22"/>
        </w:rPr>
        <w:t xml:space="preserve">, IČO </w:t>
      </w:r>
      <w:r w:rsidR="00D131CD" w:rsidRPr="00D131CD">
        <w:rPr>
          <w:rFonts w:ascii="Arial" w:hAnsi="Arial" w:cs="Arial"/>
          <w:sz w:val="22"/>
          <w:szCs w:val="22"/>
        </w:rPr>
        <w:t>274 66 868</w:t>
      </w:r>
      <w:r w:rsidRPr="00D131CD">
        <w:rPr>
          <w:rFonts w:ascii="Arial" w:hAnsi="Arial" w:cs="Arial"/>
          <w:sz w:val="22"/>
          <w:szCs w:val="22"/>
        </w:rPr>
        <w:t xml:space="preserve"> v členění stavebních objektů </w:t>
      </w:r>
      <w:r w:rsidRPr="00D131CD">
        <w:rPr>
          <w:rFonts w:ascii="Arial" w:hAnsi="Arial" w:cs="Arial"/>
          <w:spacing w:val="-4"/>
          <w:sz w:val="22"/>
          <w:szCs w:val="22"/>
        </w:rPr>
        <w:t>(dle soupisu</w:t>
      </w:r>
      <w:r w:rsidRPr="00D131CD">
        <w:rPr>
          <w:rFonts w:ascii="Arial" w:hAnsi="Arial" w:cs="Arial"/>
          <w:sz w:val="22"/>
          <w:szCs w:val="22"/>
        </w:rPr>
        <w:t xml:space="preserve"> prací)</w:t>
      </w:r>
      <w:r w:rsidRPr="00D131CD">
        <w:rPr>
          <w:rFonts w:ascii="Arial" w:hAnsi="Arial" w:cs="Arial"/>
          <w:spacing w:val="-4"/>
          <w:sz w:val="22"/>
          <w:szCs w:val="22"/>
        </w:rPr>
        <w:t>, jejichž investorem je zadavatel č. 1, tj. Kraj Vysočina</w:t>
      </w:r>
      <w:r w:rsidRPr="00D131CD">
        <w:rPr>
          <w:rFonts w:ascii="Arial" w:hAnsi="Arial" w:cs="Arial"/>
          <w:sz w:val="22"/>
          <w:szCs w:val="22"/>
        </w:rPr>
        <w:t>:</w:t>
      </w:r>
    </w:p>
    <w:p w:rsidR="002D709E" w:rsidRDefault="002D709E" w:rsidP="002D709E">
      <w:pPr>
        <w:pStyle w:val="Zkladntextodsazen3"/>
        <w:ind w:left="0" w:firstLine="0"/>
        <w:rPr>
          <w:szCs w:val="22"/>
        </w:rPr>
      </w:pPr>
    </w:p>
    <w:p w:rsidR="00217E39" w:rsidRDefault="00217E39" w:rsidP="002D709E">
      <w:pPr>
        <w:pStyle w:val="Zkladntextodsazen3"/>
        <w:ind w:left="0" w:firstLine="0"/>
        <w:rPr>
          <w:szCs w:val="22"/>
        </w:rPr>
      </w:pPr>
    </w:p>
    <w:p w:rsidR="0075669A" w:rsidRDefault="0075669A" w:rsidP="002D709E">
      <w:pPr>
        <w:pStyle w:val="Zkladntextodsazen3"/>
        <w:ind w:left="0" w:firstLine="0"/>
        <w:rPr>
          <w:szCs w:val="22"/>
        </w:rPr>
      </w:pPr>
    </w:p>
    <w:p w:rsidR="0075669A" w:rsidRPr="00D131CD" w:rsidRDefault="0075669A" w:rsidP="002D709E">
      <w:pPr>
        <w:pStyle w:val="Zkladntextodsazen3"/>
        <w:ind w:left="0" w:firstLine="0"/>
        <w:rPr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lastRenderedPageBreak/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001.V - Všeobecné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a předběžné položky (vedlejší)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101.11.H - Výměna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aktivní zóny Silnice III/1292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SO 101-</w:t>
      </w:r>
      <w:proofErr w:type="gramStart"/>
      <w:r w:rsidRPr="00D131CD">
        <w:rPr>
          <w:rFonts w:ascii="Arial" w:hAnsi="Arial" w:cs="Arial"/>
          <w:sz w:val="22"/>
          <w:szCs w:val="22"/>
        </w:rPr>
        <w:t>11.H - Výměna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aktivní zóny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101.H - Silnice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III/1292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101-0.H - Demolice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101-1.H - Komunikace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101-1.H - Základní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konstrukce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101-2.H - PROPUSTEK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Nývlt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101-3.H - Vpusti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a přípojky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 xml:space="preserve">101-8.H - </w:t>
      </w:r>
      <w:proofErr w:type="spellStart"/>
      <w:r w:rsidRPr="00D131CD">
        <w:rPr>
          <w:rFonts w:ascii="Arial" w:hAnsi="Arial" w:cs="Arial"/>
          <w:sz w:val="22"/>
          <w:szCs w:val="22"/>
        </w:rPr>
        <w:t>Ohumusování</w:t>
      </w:r>
      <w:proofErr w:type="spellEnd"/>
      <w:proofErr w:type="gramEnd"/>
      <w:r w:rsidRPr="00D131CD">
        <w:rPr>
          <w:rFonts w:ascii="Arial" w:hAnsi="Arial" w:cs="Arial"/>
          <w:sz w:val="22"/>
          <w:szCs w:val="22"/>
        </w:rPr>
        <w:t xml:space="preserve">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111.H - Napojení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, sjezdy, úpravy křižovatek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111-0.H - Demolice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Napojení, sjezdy, úpravy křižovatek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111-1.H - Napojení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, sjezdy, úpravy křižovatek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111-1.H - Základní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konstrukce Napojení, sjezdy, úpravy křižovatek (hlavní)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171.H Kraj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- Dopravní značení trvalé (hlavní)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D131CD">
        <w:rPr>
          <w:rFonts w:ascii="Arial" w:hAnsi="Arial" w:cs="Arial"/>
          <w:sz w:val="22"/>
          <w:szCs w:val="22"/>
        </w:rPr>
        <w:t>172.V - Dopravní</w:t>
      </w:r>
      <w:proofErr w:type="gramEnd"/>
      <w:r w:rsidRPr="00D131CD">
        <w:rPr>
          <w:rFonts w:ascii="Arial" w:hAnsi="Arial" w:cs="Arial"/>
          <w:sz w:val="22"/>
          <w:szCs w:val="22"/>
        </w:rPr>
        <w:t xml:space="preserve"> značení přechodné (DIO) (vedlejší)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201 - Most ev. č. 1292-1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204 - Opěrná zeď u skladu pilin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301 – Dešťová kanalizace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 xml:space="preserve">SO 302 – Splašková kanalizace 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SO 303 – Vodovod</w:t>
      </w:r>
    </w:p>
    <w:p w:rsidR="00071072" w:rsidRDefault="00071072" w:rsidP="00D131CD">
      <w:pPr>
        <w:rPr>
          <w:rFonts w:ascii="Arial" w:hAnsi="Arial" w:cs="Arial"/>
          <w:sz w:val="22"/>
          <w:szCs w:val="22"/>
        </w:rPr>
      </w:pPr>
    </w:p>
    <w:p w:rsidR="00071072" w:rsidRPr="00D131CD" w:rsidRDefault="00071072" w:rsidP="00D131CD">
      <w:pPr>
        <w:rPr>
          <w:rFonts w:ascii="Arial" w:hAnsi="Arial" w:cs="Arial"/>
          <w:sz w:val="22"/>
          <w:szCs w:val="22"/>
        </w:rPr>
      </w:pPr>
      <w:r w:rsidRPr="00891E02">
        <w:rPr>
          <w:rFonts w:ascii="Arial" w:hAnsi="Arial" w:cs="Arial"/>
          <w:sz w:val="22"/>
          <w:szCs w:val="22"/>
        </w:rPr>
        <w:t>SO 401 Přeložka CETIN dočasná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SO 402 Přeložka VO dočasná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SO 403 Přeložka NN dočasná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2D709E" w:rsidRDefault="002D709E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:rsidR="009065A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2:</w:t>
      </w:r>
    </w:p>
    <w:p w:rsidR="00D131CD" w:rsidRPr="00D131CD" w:rsidRDefault="00D131CD" w:rsidP="00D131C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131CD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 zadavatele č. 2</w:t>
      </w:r>
      <w:r w:rsidRPr="00D131CD">
        <w:rPr>
          <w:rFonts w:ascii="Arial" w:hAnsi="Arial" w:cs="Arial"/>
          <w:sz w:val="22"/>
          <w:szCs w:val="22"/>
        </w:rPr>
        <w:t xml:space="preserve"> budou provedeny stavební práce dle projektové dokumentace „III/1292 Obrataň, ul. Nádražní“, vypracované v září 2023 ve stupni projektové dokumentace pro provádění stavby (dále jen „PDPS“) společností Dopravně inženýrská kancelář, s r.o., se sídlem Bozděchova 1668/13a, Pražské Předměstí, 500 02 Hradec Králové, IČO 274 66 868 v členění stavebních objektů </w:t>
      </w:r>
      <w:r w:rsidRPr="00D131CD">
        <w:rPr>
          <w:rFonts w:ascii="Arial" w:hAnsi="Arial" w:cs="Arial"/>
          <w:spacing w:val="-4"/>
          <w:sz w:val="22"/>
          <w:szCs w:val="22"/>
        </w:rPr>
        <w:t>(dle soupisu</w:t>
      </w:r>
      <w:r w:rsidRPr="00D131CD">
        <w:rPr>
          <w:rFonts w:ascii="Arial" w:hAnsi="Arial" w:cs="Arial"/>
          <w:sz w:val="22"/>
          <w:szCs w:val="22"/>
        </w:rPr>
        <w:t xml:space="preserve"> prací)</w:t>
      </w:r>
      <w:r w:rsidRPr="00D131CD">
        <w:rPr>
          <w:rFonts w:ascii="Arial" w:hAnsi="Arial" w:cs="Arial"/>
          <w:spacing w:val="-4"/>
          <w:sz w:val="22"/>
          <w:szCs w:val="22"/>
        </w:rPr>
        <w:t xml:space="preserve">, jejichž investorem je zadavatel č. </w:t>
      </w:r>
      <w:r w:rsidR="00F50DD8">
        <w:rPr>
          <w:rFonts w:ascii="Arial" w:hAnsi="Arial" w:cs="Arial"/>
          <w:spacing w:val="-4"/>
          <w:sz w:val="22"/>
          <w:szCs w:val="22"/>
        </w:rPr>
        <w:t>2</w:t>
      </w:r>
      <w:r w:rsidRPr="00D131CD">
        <w:rPr>
          <w:rFonts w:ascii="Arial" w:hAnsi="Arial" w:cs="Arial"/>
          <w:spacing w:val="-4"/>
          <w:sz w:val="22"/>
          <w:szCs w:val="22"/>
        </w:rPr>
        <w:t xml:space="preserve">, tj. </w:t>
      </w:r>
      <w:r w:rsidR="00F50DD8">
        <w:rPr>
          <w:rFonts w:ascii="Arial" w:hAnsi="Arial" w:cs="Arial"/>
          <w:spacing w:val="-4"/>
          <w:sz w:val="22"/>
          <w:szCs w:val="22"/>
        </w:rPr>
        <w:t>Obec Obrataň</w:t>
      </w:r>
      <w:r w:rsidRPr="00D131CD">
        <w:rPr>
          <w:rFonts w:ascii="Arial" w:hAnsi="Arial" w:cs="Arial"/>
          <w:sz w:val="22"/>
          <w:szCs w:val="22"/>
        </w:rPr>
        <w:t>:</w:t>
      </w:r>
    </w:p>
    <w:p w:rsidR="009739D5" w:rsidRDefault="009739D5" w:rsidP="009739D5">
      <w:pPr>
        <w:pStyle w:val="Zkladntextodsazen3"/>
        <w:ind w:left="0" w:firstLine="0"/>
        <w:rPr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001.V - Všeobecné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a předběžné položky (vedlejší)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102.11.V - Výměna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aktivní zóny Chodník - Obec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SO 102-</w:t>
      </w:r>
      <w:proofErr w:type="gramStart"/>
      <w:r w:rsidRPr="00F50DD8">
        <w:rPr>
          <w:rFonts w:ascii="Arial" w:hAnsi="Arial" w:cs="Arial"/>
          <w:sz w:val="22"/>
          <w:szCs w:val="22"/>
        </w:rPr>
        <w:t>11.V - Výměna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aktivní zóny (hlavní)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102.V - Chodník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- Obec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102-0.V - Demolice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102-1.V - Chodník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102-1.V - Základní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konstrukce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lastRenderedPageBreak/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 xml:space="preserve">102-8.H - </w:t>
      </w:r>
      <w:proofErr w:type="spellStart"/>
      <w:r w:rsidRPr="00F50DD8">
        <w:rPr>
          <w:rFonts w:ascii="Arial" w:hAnsi="Arial" w:cs="Arial"/>
          <w:sz w:val="22"/>
          <w:szCs w:val="22"/>
        </w:rPr>
        <w:t>ohumusování</w:t>
      </w:r>
      <w:proofErr w:type="spellEnd"/>
      <w:proofErr w:type="gramEnd"/>
      <w:r w:rsidRPr="00F50DD8">
        <w:rPr>
          <w:rFonts w:ascii="Arial" w:hAnsi="Arial" w:cs="Arial"/>
          <w:sz w:val="22"/>
          <w:szCs w:val="22"/>
        </w:rPr>
        <w:t xml:space="preserve">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105.11.V - Výměna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aktivní zóny Parkování - Obec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SO 105-</w:t>
      </w:r>
      <w:proofErr w:type="gramStart"/>
      <w:r w:rsidRPr="00F50DD8">
        <w:rPr>
          <w:rFonts w:ascii="Arial" w:hAnsi="Arial" w:cs="Arial"/>
          <w:sz w:val="22"/>
          <w:szCs w:val="22"/>
        </w:rPr>
        <w:t>11.V - Výměna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aktivní zóny (hlavní)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105.V - Parkování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- Obec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105-0.V - Demolice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105-1.V - Parkování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105-1.V - Základní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konstrukce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171.H Obec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- Dopravní značení trvalé (hlavní)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202 - Opěrná zeď u parkovacího pruhu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203 - Opěrná zeď pod nádražím 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proofErr w:type="gramStart"/>
      <w:r w:rsidRPr="00F50DD8">
        <w:rPr>
          <w:rFonts w:ascii="Arial" w:hAnsi="Arial" w:cs="Arial"/>
          <w:sz w:val="22"/>
          <w:szCs w:val="22"/>
        </w:rPr>
        <w:t>402.Obec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- Veřejné osvětlení (posun jednoho stávajícího sloupu) - Obec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a dále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budou provedeny stavební práce</w:t>
      </w:r>
      <w:r w:rsidRPr="00F50DD8">
        <w:rPr>
          <w:rFonts w:ascii="Arial" w:hAnsi="Arial" w:cs="Arial"/>
          <w:sz w:val="22"/>
          <w:szCs w:val="22"/>
        </w:rPr>
        <w:t xml:space="preserve"> dle projektové dokumentace „Chodník pro pěší k nádraží na pozemcích </w:t>
      </w:r>
      <w:proofErr w:type="spellStart"/>
      <w:r w:rsidRPr="00F50DD8">
        <w:rPr>
          <w:rFonts w:ascii="Arial" w:hAnsi="Arial" w:cs="Arial"/>
          <w:sz w:val="22"/>
          <w:szCs w:val="22"/>
        </w:rPr>
        <w:t>parc</w:t>
      </w:r>
      <w:proofErr w:type="spellEnd"/>
      <w:r w:rsidRPr="00F50DD8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50DD8">
        <w:rPr>
          <w:rFonts w:ascii="Arial" w:hAnsi="Arial" w:cs="Arial"/>
          <w:sz w:val="22"/>
          <w:szCs w:val="22"/>
        </w:rPr>
        <w:t>č.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744/5, 1763/2 a 1779/1 v katastrálním území Obrataň“, vypracované firmou INTEGRA projektová a inženýrská stavební kancelář se sídlem U rendlíku 1906, 393 01 Pelhřimov, IČO 472 47 088, </w:t>
      </w:r>
      <w:r>
        <w:rPr>
          <w:rFonts w:ascii="Arial" w:hAnsi="Arial" w:cs="Arial"/>
          <w:sz w:val="22"/>
          <w:szCs w:val="22"/>
        </w:rPr>
        <w:t xml:space="preserve">v členění </w:t>
      </w:r>
      <w:r w:rsidRPr="00F50DD8">
        <w:rPr>
          <w:rFonts w:ascii="Arial" w:hAnsi="Arial" w:cs="Arial"/>
          <w:sz w:val="22"/>
          <w:szCs w:val="22"/>
        </w:rPr>
        <w:t>na jednotlivé stavební objekty: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SO - 101 Chodník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SO - 301 Dešťová kanalizace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SO - 801 Sadové úpravy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170C74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Investorem výše uvedených stavebních objektů je zadavatel č. 2</w:t>
      </w:r>
    </w:p>
    <w:p w:rsidR="00986757" w:rsidRDefault="00986757" w:rsidP="00190E92">
      <w:pPr>
        <w:pStyle w:val="Zkladntextodsazen3"/>
        <w:ind w:left="0" w:firstLine="0"/>
        <w:rPr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  <w:r w:rsidR="00F50DD8">
        <w:rPr>
          <w:rFonts w:ascii="Arial" w:hAnsi="Arial" w:cs="Arial"/>
          <w:spacing w:val="-4"/>
          <w:sz w:val="22"/>
          <w:szCs w:val="22"/>
        </w:rPr>
        <w:br/>
      </w:r>
      <w:r w:rsidRPr="00CB1DA3">
        <w:rPr>
          <w:rFonts w:ascii="Arial" w:hAnsi="Arial" w:cs="Arial"/>
          <w:spacing w:val="-4"/>
          <w:sz w:val="22"/>
          <w:szCs w:val="22"/>
        </w:rPr>
        <w:t>v dokladové části projektové dokumentace.</w:t>
      </w:r>
    </w:p>
    <w:p w:rsidR="00CB1DA3" w:rsidRDefault="00CB1DA3" w:rsidP="00CB1DA3">
      <w:pPr>
        <w:spacing w:before="120"/>
        <w:jc w:val="both"/>
        <w:rPr>
          <w:rFonts w:ascii="Arial" w:hAnsi="Arial" w:cs="Arial"/>
          <w:sz w:val="22"/>
          <w:szCs w:val="22"/>
          <w:lang w:eastAsia="x-none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:rsidR="00CF75D9" w:rsidRDefault="00CF75D9" w:rsidP="00CF75D9">
      <w:pPr>
        <w:spacing w:before="120"/>
        <w:jc w:val="both"/>
        <w:rPr>
          <w:rFonts w:ascii="Arial" w:hAnsi="Arial" w:cs="Arial"/>
          <w:sz w:val="22"/>
          <w:szCs w:val="22"/>
          <w:lang w:eastAsia="x-none"/>
        </w:rPr>
      </w:pPr>
      <w:r w:rsidRPr="003831FD">
        <w:rPr>
          <w:rFonts w:ascii="Arial" w:hAnsi="Arial" w:cs="Arial"/>
          <w:sz w:val="22"/>
          <w:szCs w:val="22"/>
          <w:lang w:eastAsia="x-none"/>
        </w:rPr>
        <w:t xml:space="preserve">V rámci provádění stavebních prací bude realizován stavební objekt SO 501 Plynovod. Rekonstrukci plynovodu v rozsahu SO 501 bude zajišťovat vlastník a správce zařízení tj. společnost </w:t>
      </w:r>
      <w:proofErr w:type="gramStart"/>
      <w:r w:rsidRPr="003831FD">
        <w:rPr>
          <w:rFonts w:ascii="Arial" w:hAnsi="Arial" w:cs="Arial"/>
          <w:sz w:val="22"/>
          <w:szCs w:val="22"/>
          <w:lang w:eastAsia="x-none"/>
        </w:rPr>
        <w:t>EG.D, a.</w:t>
      </w:r>
      <w:proofErr w:type="gramEnd"/>
      <w:r w:rsidRPr="003831FD">
        <w:rPr>
          <w:rFonts w:ascii="Arial" w:hAnsi="Arial" w:cs="Arial"/>
          <w:sz w:val="22"/>
          <w:szCs w:val="22"/>
          <w:lang w:eastAsia="x-none"/>
        </w:rPr>
        <w:t>s.</w:t>
      </w:r>
      <w:r w:rsidR="00366F70">
        <w:rPr>
          <w:rFonts w:ascii="Arial" w:hAnsi="Arial" w:cs="Arial"/>
          <w:sz w:val="22"/>
          <w:szCs w:val="22"/>
          <w:lang w:eastAsia="x-none"/>
        </w:rPr>
        <w:t xml:space="preserve"> na základě samostatné smlouvy o přeložce.</w:t>
      </w:r>
      <w:r w:rsidR="00AC2301" w:rsidRPr="003831FD">
        <w:rPr>
          <w:rFonts w:ascii="Arial" w:hAnsi="Arial" w:cs="Arial"/>
          <w:sz w:val="22"/>
          <w:szCs w:val="22"/>
          <w:lang w:eastAsia="x-none"/>
        </w:rPr>
        <w:t xml:space="preserve"> SO 501 </w:t>
      </w:r>
      <w:r w:rsidR="003831FD" w:rsidRPr="003831FD">
        <w:rPr>
          <w:rFonts w:ascii="Arial" w:hAnsi="Arial" w:cs="Arial"/>
          <w:sz w:val="22"/>
          <w:szCs w:val="22"/>
          <w:lang w:eastAsia="x-none"/>
        </w:rPr>
        <w:t>není předmětem veřejné zakázky.</w:t>
      </w:r>
      <w:r w:rsidR="00A61771">
        <w:rPr>
          <w:rFonts w:ascii="Arial" w:hAnsi="Arial" w:cs="Arial"/>
          <w:sz w:val="22"/>
          <w:szCs w:val="22"/>
          <w:lang w:eastAsia="x-none"/>
        </w:rPr>
        <w:t xml:space="preserve"> Vybraný dodavatel bude práce koordinovat se zhotovitelem přeložky.</w:t>
      </w:r>
    </w:p>
    <w:p w:rsidR="00F66AEA" w:rsidRDefault="00071072" w:rsidP="00CF75D9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 rámci stavby bude rovněž provedena provizorní a definitivní překládka sdělovacích kabelů. </w:t>
      </w:r>
      <w:r w:rsidR="00B33C41">
        <w:rPr>
          <w:rFonts w:ascii="Arial" w:hAnsi="Arial" w:cs="Arial"/>
          <w:sz w:val="22"/>
          <w:szCs w:val="22"/>
          <w:lang w:eastAsia="x-none"/>
        </w:rPr>
        <w:t>Tuto p</w:t>
      </w:r>
      <w:r>
        <w:rPr>
          <w:rFonts w:ascii="Arial" w:hAnsi="Arial" w:cs="Arial"/>
          <w:sz w:val="22"/>
          <w:szCs w:val="22"/>
          <w:lang w:eastAsia="x-none"/>
        </w:rPr>
        <w:t>řekládku zajišťuje vlastník sítě tj. společnost CETIN, a.s.</w:t>
      </w:r>
      <w:r w:rsidR="00B33C4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E2753C">
        <w:rPr>
          <w:rFonts w:ascii="Arial" w:hAnsi="Arial" w:cs="Arial"/>
          <w:sz w:val="22"/>
          <w:szCs w:val="22"/>
          <w:lang w:eastAsia="x-none"/>
        </w:rPr>
        <w:t>Vybraný dodavatel bude práce koordinovat se zhotovitelem přeložky.</w:t>
      </w:r>
      <w:r w:rsidR="00FB1467">
        <w:rPr>
          <w:rFonts w:ascii="Arial" w:hAnsi="Arial" w:cs="Arial"/>
          <w:sz w:val="22"/>
          <w:szCs w:val="22"/>
          <w:lang w:eastAsia="x-none"/>
        </w:rPr>
        <w:t xml:space="preserve"> Přípravné a souvisej</w:t>
      </w:r>
      <w:r w:rsidR="00F66AEA">
        <w:rPr>
          <w:rFonts w:ascii="Arial" w:hAnsi="Arial" w:cs="Arial"/>
          <w:sz w:val="22"/>
          <w:szCs w:val="22"/>
          <w:lang w:eastAsia="x-none"/>
        </w:rPr>
        <w:t>ící práce (vyvěšení na sloupy apod.) jsou rovněž předmětem</w:t>
      </w:r>
      <w:r w:rsidR="00FB1467">
        <w:rPr>
          <w:rFonts w:ascii="Arial" w:hAnsi="Arial" w:cs="Arial"/>
          <w:sz w:val="22"/>
          <w:szCs w:val="22"/>
          <w:lang w:eastAsia="x-none"/>
        </w:rPr>
        <w:t xml:space="preserve"> SO 401,</w:t>
      </w:r>
      <w:r w:rsidR="00F66AEA">
        <w:rPr>
          <w:rFonts w:ascii="Arial" w:hAnsi="Arial" w:cs="Arial"/>
          <w:sz w:val="22"/>
          <w:szCs w:val="22"/>
          <w:lang w:eastAsia="x-none"/>
        </w:rPr>
        <w:t xml:space="preserve"> který je předmětem plnění</w:t>
      </w:r>
      <w:r w:rsidR="00FB1467">
        <w:rPr>
          <w:rFonts w:ascii="Arial" w:hAnsi="Arial" w:cs="Arial"/>
          <w:sz w:val="22"/>
          <w:szCs w:val="22"/>
          <w:lang w:eastAsia="x-none"/>
        </w:rPr>
        <w:t xml:space="preserve"> dle této výzvy</w:t>
      </w:r>
      <w:r w:rsidR="00F66AEA">
        <w:rPr>
          <w:rFonts w:ascii="Arial" w:hAnsi="Arial" w:cs="Arial"/>
          <w:sz w:val="22"/>
          <w:szCs w:val="22"/>
          <w:lang w:eastAsia="x-none"/>
        </w:rPr>
        <w:t>.</w:t>
      </w:r>
    </w:p>
    <w:p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lastRenderedPageBreak/>
        <w:t xml:space="preserve">Pro pokládku obrusné asfaltobetonové vrstvy vozovky požaduje zadavatel č. 1 provedení pokládky bez </w:t>
      </w:r>
      <w:r w:rsidR="00366F70">
        <w:rPr>
          <w:rFonts w:ascii="Arial" w:hAnsi="Arial" w:cs="Arial"/>
          <w:spacing w:val="4"/>
          <w:sz w:val="22"/>
          <w:szCs w:val="22"/>
        </w:rPr>
        <w:t xml:space="preserve">podélné </w:t>
      </w:r>
      <w:r w:rsidRPr="00807953">
        <w:rPr>
          <w:rFonts w:ascii="Arial" w:hAnsi="Arial" w:cs="Arial"/>
          <w:spacing w:val="4"/>
          <w:sz w:val="22"/>
          <w:szCs w:val="22"/>
        </w:rPr>
        <w:t>pracovní spáry s vyloučením veškeré dopravy.</w:t>
      </w:r>
    </w:p>
    <w:p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</w:t>
      </w:r>
      <w:r w:rsidR="00366F70">
        <w:rPr>
          <w:rFonts w:ascii="Arial" w:hAnsi="Arial" w:cs="Arial"/>
          <w:spacing w:val="4"/>
          <w:sz w:val="22"/>
          <w:szCs w:val="22"/>
        </w:rPr>
        <w:t>r</w:t>
      </w:r>
      <w:r w:rsidRPr="00807953">
        <w:rPr>
          <w:rFonts w:ascii="Arial" w:hAnsi="Arial" w:cs="Arial"/>
          <w:spacing w:val="4"/>
          <w:sz w:val="22"/>
          <w:szCs w:val="22"/>
        </w:rPr>
        <w:t xml:space="preserve">áce a </w:t>
      </w:r>
      <w:r w:rsidR="00366F70" w:rsidRPr="00807953">
        <w:rPr>
          <w:rFonts w:ascii="Arial" w:hAnsi="Arial" w:cs="Arial"/>
          <w:spacing w:val="4"/>
          <w:sz w:val="22"/>
          <w:szCs w:val="22"/>
        </w:rPr>
        <w:t>ochran</w:t>
      </w:r>
      <w:r w:rsidR="00366F70">
        <w:rPr>
          <w:rFonts w:ascii="Arial" w:hAnsi="Arial" w:cs="Arial"/>
          <w:spacing w:val="4"/>
          <w:sz w:val="22"/>
          <w:szCs w:val="22"/>
        </w:rPr>
        <w:t>y</w:t>
      </w:r>
      <w:r w:rsidR="00366F70" w:rsidRPr="00807953">
        <w:rPr>
          <w:rFonts w:ascii="Arial" w:hAnsi="Arial" w:cs="Arial"/>
          <w:spacing w:val="4"/>
          <w:sz w:val="22"/>
          <w:szCs w:val="22"/>
        </w:rPr>
        <w:t xml:space="preserve"> </w:t>
      </w:r>
      <w:r w:rsidRPr="00807953">
        <w:rPr>
          <w:rFonts w:ascii="Arial" w:hAnsi="Arial" w:cs="Arial"/>
          <w:spacing w:val="4"/>
          <w:sz w:val="22"/>
          <w:szCs w:val="22"/>
        </w:rPr>
        <w:t>zdraví na staveništi.</w:t>
      </w:r>
    </w:p>
    <w:p w:rsidR="008A13F2" w:rsidRPr="00C45BB4" w:rsidRDefault="008A13F2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124F8" w:rsidRPr="005B62B4" w:rsidRDefault="00D416E3" w:rsidP="005B62B4">
      <w:pPr>
        <w:pStyle w:val="Nadpis1"/>
      </w:pPr>
      <w:r>
        <w:t>Identifikace osob podílejících se na vypracování zadávací dokumentace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B753A0" w:rsidRPr="00176362" w:rsidRDefault="00F50DD8" w:rsidP="00F50DD8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Dopravně inženýrská kancelář, s r.o. se sídlem Bozděchova 1668/13a, Pražské Předměstí, 500 02 Hradec Králové, IČO 274 66</w:t>
      </w:r>
      <w:r w:rsidR="007A06EE">
        <w:rPr>
          <w:rFonts w:ascii="Arial" w:hAnsi="Arial" w:cs="Arial"/>
          <w:sz w:val="22"/>
          <w:szCs w:val="22"/>
        </w:rPr>
        <w:t> </w:t>
      </w:r>
      <w:r w:rsidRPr="00F50DD8">
        <w:rPr>
          <w:rFonts w:ascii="Arial" w:hAnsi="Arial" w:cs="Arial"/>
          <w:sz w:val="22"/>
          <w:szCs w:val="22"/>
        </w:rPr>
        <w:t>868</w:t>
      </w:r>
      <w:r w:rsidR="007A06E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B753A0" w:rsidRPr="00176362">
        <w:rPr>
          <w:rFonts w:ascii="Arial" w:hAnsi="Arial" w:cs="Arial"/>
          <w:sz w:val="22"/>
          <w:szCs w:val="22"/>
        </w:rPr>
        <w:t>zpracovatel projektové dokumentace „</w:t>
      </w:r>
      <w:r>
        <w:rPr>
          <w:rFonts w:ascii="Arial" w:hAnsi="Arial" w:cs="Arial"/>
          <w:sz w:val="22"/>
          <w:szCs w:val="22"/>
        </w:rPr>
        <w:t>III/1292 Obrataň, ul. Nádražní</w:t>
      </w:r>
      <w:r w:rsidR="00B753A0"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září 2023</w:t>
      </w:r>
      <w:r w:rsidR="00B753A0" w:rsidRPr="00176362">
        <w:rPr>
          <w:rFonts w:ascii="Arial" w:hAnsi="Arial" w:cs="Arial"/>
          <w:sz w:val="22"/>
          <w:szCs w:val="22"/>
        </w:rPr>
        <w:t xml:space="preserve"> ve stupni PDPS. </w:t>
      </w:r>
    </w:p>
    <w:p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:rsidR="00D416E3" w:rsidRDefault="00F50DD8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INTEGRA projektová a inženýrská stavební kancelář se sídlem U rendlíku 1906, 393 01 Pelhřimov, IČO 472 47</w:t>
      </w:r>
      <w:r>
        <w:rPr>
          <w:rFonts w:ascii="Arial" w:hAnsi="Arial" w:cs="Arial"/>
          <w:sz w:val="22"/>
          <w:szCs w:val="22"/>
        </w:rPr>
        <w:t> </w:t>
      </w:r>
      <w:r w:rsidRPr="00F50DD8">
        <w:rPr>
          <w:rFonts w:ascii="Arial" w:hAnsi="Arial" w:cs="Arial"/>
          <w:sz w:val="22"/>
          <w:szCs w:val="22"/>
        </w:rPr>
        <w:t>088</w:t>
      </w:r>
      <w:r>
        <w:rPr>
          <w:rFonts w:ascii="Arial" w:hAnsi="Arial" w:cs="Arial"/>
          <w:sz w:val="22"/>
          <w:szCs w:val="22"/>
        </w:rPr>
        <w:t xml:space="preserve">, zpracovatel projektové dokumentace </w:t>
      </w:r>
      <w:r w:rsidRPr="00F50DD8">
        <w:rPr>
          <w:rFonts w:ascii="Arial" w:hAnsi="Arial" w:cs="Arial"/>
          <w:sz w:val="22"/>
          <w:szCs w:val="22"/>
        </w:rPr>
        <w:t xml:space="preserve">„Chodník pro pěší k nádraží na pozemcích </w:t>
      </w:r>
      <w:proofErr w:type="spellStart"/>
      <w:r w:rsidRPr="00F50DD8">
        <w:rPr>
          <w:rFonts w:ascii="Arial" w:hAnsi="Arial" w:cs="Arial"/>
          <w:sz w:val="22"/>
          <w:szCs w:val="22"/>
        </w:rPr>
        <w:t>parc</w:t>
      </w:r>
      <w:proofErr w:type="spellEnd"/>
      <w:r w:rsidRPr="00F50DD8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50DD8">
        <w:rPr>
          <w:rFonts w:ascii="Arial" w:hAnsi="Arial" w:cs="Arial"/>
          <w:sz w:val="22"/>
          <w:szCs w:val="22"/>
        </w:rPr>
        <w:t>č.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744/5, 1763/2 a 1779/</w:t>
      </w:r>
      <w:r>
        <w:rPr>
          <w:rFonts w:ascii="Arial" w:hAnsi="Arial" w:cs="Arial"/>
          <w:sz w:val="22"/>
          <w:szCs w:val="22"/>
        </w:rPr>
        <w:t>1 v katastrálním území Obrataň“</w:t>
      </w:r>
    </w:p>
    <w:p w:rsidR="00345849" w:rsidRDefault="00345849" w:rsidP="00345849">
      <w:pPr>
        <w:pStyle w:val="Odstavecseseznamem"/>
        <w:rPr>
          <w:rFonts w:ascii="Arial" w:hAnsi="Arial" w:cs="Arial"/>
          <w:sz w:val="22"/>
          <w:szCs w:val="22"/>
        </w:rPr>
      </w:pPr>
    </w:p>
    <w:p w:rsidR="001E3FEB" w:rsidRPr="00F50DD8" w:rsidRDefault="001E3FEB" w:rsidP="00F50DD8">
      <w:pPr>
        <w:rPr>
          <w:rFonts w:ascii="Arial" w:hAnsi="Arial" w:cs="Arial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Pelhřimov, obec </w:t>
      </w:r>
      <w:r w:rsidR="00E907A1">
        <w:rPr>
          <w:rFonts w:ascii="Arial" w:hAnsi="Arial" w:cs="Arial"/>
          <w:sz w:val="22"/>
          <w:szCs w:val="22"/>
        </w:rPr>
        <w:t>Obrataň</w:t>
      </w:r>
      <w:r w:rsidR="00B753A0">
        <w:rPr>
          <w:rFonts w:ascii="Arial" w:hAnsi="Arial" w:cs="Arial"/>
          <w:sz w:val="22"/>
          <w:szCs w:val="22"/>
        </w:rPr>
        <w:t>.</w:t>
      </w:r>
    </w:p>
    <w:p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6B13C8">
        <w:rPr>
          <w:rFonts w:ascii="Arial" w:hAnsi="Arial" w:cs="Arial"/>
          <w:b w:val="0"/>
          <w:bCs w:val="0"/>
          <w:sz w:val="22"/>
          <w:szCs w:val="22"/>
        </w:rPr>
        <w:t>dube</w:t>
      </w:r>
      <w:r w:rsidR="00F50DD8">
        <w:rPr>
          <w:rFonts w:ascii="Arial" w:hAnsi="Arial" w:cs="Arial"/>
          <w:b w:val="0"/>
          <w:bCs w:val="0"/>
          <w:sz w:val="22"/>
          <w:szCs w:val="22"/>
        </w:rPr>
        <w:t>n 2025</w:t>
      </w:r>
    </w:p>
    <w:p w:rsidR="00217E39" w:rsidRDefault="00217E39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F50DD8">
        <w:rPr>
          <w:rFonts w:ascii="Arial" w:hAnsi="Arial" w:cs="Arial"/>
          <w:b w:val="0"/>
          <w:bCs w:val="0"/>
          <w:sz w:val="22"/>
          <w:szCs w:val="22"/>
        </w:rPr>
        <w:t>4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8B17E0">
        <w:rPr>
          <w:rFonts w:ascii="Arial" w:hAnsi="Arial" w:cs="Arial"/>
          <w:sz w:val="22"/>
          <w:szCs w:val="22"/>
          <w:lang w:eastAsia="x-none"/>
        </w:rPr>
        <w:t>1</w:t>
      </w:r>
      <w:r w:rsidR="00A61771">
        <w:rPr>
          <w:rFonts w:ascii="Arial" w:hAnsi="Arial" w:cs="Arial"/>
          <w:sz w:val="22"/>
          <w:szCs w:val="22"/>
          <w:lang w:eastAsia="x-none"/>
        </w:rPr>
        <w:t>3</w:t>
      </w:r>
      <w:r w:rsidR="00F50DD8">
        <w:rPr>
          <w:rFonts w:ascii="Arial" w:hAnsi="Arial" w:cs="Arial"/>
          <w:sz w:val="22"/>
          <w:szCs w:val="22"/>
          <w:lang w:eastAsia="x-none"/>
        </w:rPr>
        <w:t>. 02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483941">
        <w:rPr>
          <w:rFonts w:ascii="Arial" w:hAnsi="Arial" w:cs="Arial"/>
          <w:sz w:val="22"/>
          <w:szCs w:val="22"/>
          <w:lang w:eastAsia="x-none"/>
        </w:rPr>
        <w:t>6</w:t>
      </w:r>
    </w:p>
    <w:p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:rsidR="00FA0761" w:rsidRPr="005D488A" w:rsidRDefault="00FA0761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5E0DD1" w:rsidRPr="00570E2A" w:rsidRDefault="003C2DDA" w:rsidP="003C2D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70E2A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70E2A">
        <w:rPr>
          <w:rFonts w:ascii="Arial" w:hAnsi="Arial" w:cs="Arial"/>
          <w:i/>
          <w:sz w:val="20"/>
          <w:szCs w:val="20"/>
        </w:rPr>
        <w:t xml:space="preserve"> </w:t>
      </w:r>
      <w:r w:rsidR="005E0DD1" w:rsidRPr="00570E2A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70E2A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70E2A">
        <w:rPr>
          <w:rFonts w:ascii="Arial" w:hAnsi="Arial" w:cs="Arial"/>
          <w:sz w:val="20"/>
          <w:szCs w:val="20"/>
        </w:rPr>
        <w:t xml:space="preserve">. </w:t>
      </w:r>
    </w:p>
    <w:p w:rsidR="00217E39" w:rsidRDefault="00217E39" w:rsidP="00217E39">
      <w:pPr>
        <w:pStyle w:val="Bntext2"/>
        <w:tabs>
          <w:tab w:val="clear" w:pos="-1560"/>
        </w:tabs>
        <w:ind w:left="720"/>
        <w:rPr>
          <w:rFonts w:cs="Arial"/>
          <w:i/>
          <w:szCs w:val="22"/>
        </w:rPr>
      </w:pPr>
    </w:p>
    <w:p w:rsidR="00483941" w:rsidRPr="00842304" w:rsidRDefault="00483941" w:rsidP="00217E39">
      <w:pPr>
        <w:pStyle w:val="Bntext2"/>
        <w:tabs>
          <w:tab w:val="clear" w:pos="-1560"/>
        </w:tabs>
        <w:ind w:left="720"/>
        <w:rPr>
          <w:rFonts w:cs="Arial"/>
          <w:i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lastRenderedPageBreak/>
        <w:t>Předpokládaná hodnota veřejné zakázky</w:t>
      </w:r>
      <w:bookmarkEnd w:id="2"/>
      <w:bookmarkEnd w:id="3"/>
    </w:p>
    <w:p w:rsidR="00D80C4E" w:rsidRPr="00483941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48394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483941">
        <w:rPr>
          <w:rFonts w:ascii="Arial" w:hAnsi="Arial" w:cs="Arial"/>
          <w:sz w:val="22"/>
          <w:szCs w:val="22"/>
        </w:rPr>
        <w:t xml:space="preserve">pro </w:t>
      </w:r>
      <w:r w:rsidR="008A13F2" w:rsidRPr="00483941">
        <w:rPr>
          <w:rFonts w:ascii="Arial" w:hAnsi="Arial" w:cs="Arial"/>
          <w:sz w:val="22"/>
          <w:szCs w:val="22"/>
        </w:rPr>
        <w:t>zadavatele č. 1</w:t>
      </w:r>
      <w:r w:rsidR="005A35A3" w:rsidRPr="00483941">
        <w:rPr>
          <w:rFonts w:ascii="Arial" w:hAnsi="Arial" w:cs="Arial"/>
          <w:sz w:val="22"/>
          <w:szCs w:val="22"/>
        </w:rPr>
        <w:t>:</w:t>
      </w:r>
      <w:r w:rsidR="00C96862" w:rsidRPr="00483941">
        <w:rPr>
          <w:rFonts w:ascii="Arial" w:hAnsi="Arial" w:cs="Arial"/>
          <w:sz w:val="22"/>
          <w:szCs w:val="22"/>
        </w:rPr>
        <w:tab/>
      </w:r>
      <w:r w:rsidR="00071072" w:rsidRPr="00483941">
        <w:rPr>
          <w:rFonts w:ascii="Arial" w:hAnsi="Arial" w:cs="Arial"/>
          <w:sz w:val="22"/>
          <w:szCs w:val="22"/>
        </w:rPr>
        <w:t>36 85</w:t>
      </w:r>
      <w:r w:rsidR="00483941" w:rsidRPr="00483941">
        <w:rPr>
          <w:rFonts w:ascii="Arial" w:hAnsi="Arial" w:cs="Arial"/>
          <w:sz w:val="22"/>
          <w:szCs w:val="22"/>
        </w:rPr>
        <w:t>0</w:t>
      </w:r>
      <w:r w:rsidR="00071072" w:rsidRPr="00483941">
        <w:rPr>
          <w:rFonts w:ascii="Arial" w:hAnsi="Arial" w:cs="Arial"/>
          <w:sz w:val="22"/>
          <w:szCs w:val="22"/>
        </w:rPr>
        <w:t> </w:t>
      </w:r>
      <w:r w:rsidR="00483941" w:rsidRPr="00483941">
        <w:rPr>
          <w:rFonts w:ascii="Arial" w:hAnsi="Arial" w:cs="Arial"/>
          <w:sz w:val="22"/>
          <w:szCs w:val="22"/>
        </w:rPr>
        <w:t>000</w:t>
      </w:r>
      <w:r w:rsidR="00C96862" w:rsidRPr="00483941">
        <w:rPr>
          <w:rFonts w:ascii="Arial" w:hAnsi="Arial" w:cs="Arial"/>
          <w:sz w:val="22"/>
          <w:szCs w:val="22"/>
        </w:rPr>
        <w:t xml:space="preserve"> Kč bez DPH</w:t>
      </w:r>
      <w:r w:rsidRPr="00483941">
        <w:rPr>
          <w:rFonts w:ascii="Arial" w:hAnsi="Arial" w:cs="Arial"/>
          <w:sz w:val="22"/>
          <w:szCs w:val="22"/>
        </w:rPr>
        <w:t xml:space="preserve"> </w:t>
      </w:r>
    </w:p>
    <w:p w:rsidR="00B023FE" w:rsidRPr="00483941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Pr="00483941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48394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483941">
        <w:rPr>
          <w:rFonts w:ascii="Arial" w:hAnsi="Arial" w:cs="Arial"/>
          <w:sz w:val="22"/>
          <w:szCs w:val="22"/>
        </w:rPr>
        <w:t xml:space="preserve">pro </w:t>
      </w:r>
      <w:r w:rsidRPr="00483941">
        <w:rPr>
          <w:rFonts w:ascii="Arial" w:hAnsi="Arial" w:cs="Arial"/>
          <w:sz w:val="22"/>
          <w:szCs w:val="22"/>
        </w:rPr>
        <w:t>zadavatele č. 2</w:t>
      </w:r>
      <w:r w:rsidR="005A35A3" w:rsidRPr="00483941">
        <w:rPr>
          <w:rFonts w:ascii="Arial" w:hAnsi="Arial" w:cs="Arial"/>
          <w:sz w:val="22"/>
          <w:szCs w:val="22"/>
        </w:rPr>
        <w:t>:</w:t>
      </w:r>
      <w:r w:rsidR="00C96862" w:rsidRPr="00483941">
        <w:rPr>
          <w:rFonts w:ascii="Arial" w:hAnsi="Arial" w:cs="Arial"/>
          <w:sz w:val="22"/>
          <w:szCs w:val="22"/>
        </w:rPr>
        <w:tab/>
      </w:r>
      <w:r w:rsidR="00170C74" w:rsidRPr="00483941">
        <w:rPr>
          <w:rFonts w:ascii="Arial" w:hAnsi="Arial" w:cs="Arial"/>
          <w:sz w:val="22"/>
          <w:szCs w:val="22"/>
        </w:rPr>
        <w:t xml:space="preserve">  </w:t>
      </w:r>
      <w:r w:rsidR="00E907A1" w:rsidRPr="00483941">
        <w:rPr>
          <w:rFonts w:ascii="Arial" w:hAnsi="Arial" w:cs="Arial"/>
          <w:sz w:val="22"/>
          <w:szCs w:val="22"/>
        </w:rPr>
        <w:t>9 05</w:t>
      </w:r>
      <w:r w:rsidR="00483941" w:rsidRPr="00483941">
        <w:rPr>
          <w:rFonts w:ascii="Arial" w:hAnsi="Arial" w:cs="Arial"/>
          <w:sz w:val="22"/>
          <w:szCs w:val="22"/>
        </w:rPr>
        <w:t>6</w:t>
      </w:r>
      <w:r w:rsidR="00E907A1" w:rsidRPr="00483941">
        <w:rPr>
          <w:rFonts w:ascii="Arial" w:hAnsi="Arial" w:cs="Arial"/>
          <w:sz w:val="22"/>
          <w:szCs w:val="22"/>
        </w:rPr>
        <w:t> </w:t>
      </w:r>
      <w:r w:rsidR="00483941" w:rsidRPr="00483941">
        <w:rPr>
          <w:rFonts w:ascii="Arial" w:hAnsi="Arial" w:cs="Arial"/>
          <w:sz w:val="22"/>
          <w:szCs w:val="22"/>
        </w:rPr>
        <w:t>000</w:t>
      </w:r>
      <w:r w:rsidR="005A283E" w:rsidRPr="00483941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 w:rsidRPr="00483941">
        <w:rPr>
          <w:rFonts w:ascii="Arial" w:hAnsi="Arial" w:cs="Arial"/>
          <w:sz w:val="22"/>
          <w:szCs w:val="22"/>
        </w:rPr>
        <w:t>Kč bez DPH</w:t>
      </w:r>
    </w:p>
    <w:p w:rsidR="00986757" w:rsidRPr="00483941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483941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 w:rsidRPr="00483941">
        <w:rPr>
          <w:rFonts w:ascii="Arial" w:hAnsi="Arial" w:cs="Arial"/>
          <w:b/>
          <w:sz w:val="22"/>
          <w:szCs w:val="22"/>
        </w:rPr>
        <w:t>:</w:t>
      </w:r>
      <w:r w:rsidR="001B60BC" w:rsidRPr="00483941">
        <w:rPr>
          <w:rFonts w:ascii="Arial" w:hAnsi="Arial" w:cs="Arial"/>
          <w:b/>
          <w:sz w:val="22"/>
          <w:szCs w:val="22"/>
        </w:rPr>
        <w:tab/>
      </w:r>
      <w:r w:rsidR="00071072" w:rsidRPr="00483941">
        <w:rPr>
          <w:rFonts w:ascii="Arial" w:hAnsi="Arial" w:cs="Arial"/>
          <w:b/>
          <w:sz w:val="22"/>
          <w:szCs w:val="22"/>
        </w:rPr>
        <w:t>45 90</w:t>
      </w:r>
      <w:r w:rsidR="00483941" w:rsidRPr="00483941">
        <w:rPr>
          <w:rFonts w:ascii="Arial" w:hAnsi="Arial" w:cs="Arial"/>
          <w:b/>
          <w:sz w:val="22"/>
          <w:szCs w:val="22"/>
        </w:rPr>
        <w:t>6</w:t>
      </w:r>
      <w:r w:rsidR="00071072" w:rsidRPr="00483941">
        <w:rPr>
          <w:rFonts w:ascii="Arial" w:hAnsi="Arial" w:cs="Arial"/>
          <w:b/>
          <w:sz w:val="22"/>
          <w:szCs w:val="22"/>
        </w:rPr>
        <w:t> </w:t>
      </w:r>
      <w:r w:rsidR="00483941" w:rsidRPr="00483941">
        <w:rPr>
          <w:rFonts w:ascii="Arial" w:hAnsi="Arial" w:cs="Arial"/>
          <w:b/>
          <w:sz w:val="22"/>
          <w:szCs w:val="22"/>
        </w:rPr>
        <w:t>000</w:t>
      </w:r>
      <w:r w:rsidRPr="00483941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483941">
        <w:rPr>
          <w:rFonts w:ascii="Arial" w:hAnsi="Arial" w:cs="Arial"/>
          <w:b/>
          <w:sz w:val="22"/>
          <w:szCs w:val="22"/>
        </w:rPr>
        <w:t xml:space="preserve"> DPH</w:t>
      </w:r>
    </w:p>
    <w:p w:rsidR="00217E39" w:rsidRDefault="00217E39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:rsidR="00483941" w:rsidRPr="00B1628C" w:rsidRDefault="00483941" w:rsidP="00483941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Výstavba, zakládání a povrchové práce pro komunikace</w:t>
      </w:r>
      <w:r w:rsidRPr="00B1628C">
        <w:rPr>
          <w:rFonts w:ascii="Arial" w:hAnsi="Arial" w:cs="Arial"/>
          <w:sz w:val="22"/>
        </w:rPr>
        <w:tab/>
        <w:t>45233000-9</w:t>
      </w:r>
    </w:p>
    <w:p w:rsidR="00483941" w:rsidRPr="00B1628C" w:rsidRDefault="00483941" w:rsidP="00483941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Stavební úpravy pro komunikace</w:t>
      </w:r>
      <w:r w:rsidRPr="00B1628C">
        <w:rPr>
          <w:rFonts w:ascii="Arial" w:hAnsi="Arial" w:cs="Arial"/>
          <w:sz w:val="22"/>
        </w:rPr>
        <w:tab/>
        <w:t>45233100-0</w:t>
      </w:r>
    </w:p>
    <w:p w:rsidR="00F53BA7" w:rsidRPr="00B1628C" w:rsidRDefault="00F53BA7" w:rsidP="00F53BA7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Stavební úpravy mostů</w:t>
      </w:r>
      <w:r w:rsidRPr="00B1628C">
        <w:rPr>
          <w:rFonts w:ascii="Arial" w:hAnsi="Arial" w:cs="Arial"/>
          <w:sz w:val="22"/>
        </w:rPr>
        <w:tab/>
        <w:t>45221100-</w:t>
      </w:r>
      <w:r w:rsidR="009A7ECD" w:rsidRPr="00B1628C">
        <w:rPr>
          <w:rFonts w:ascii="Arial" w:hAnsi="Arial" w:cs="Arial"/>
          <w:sz w:val="22"/>
        </w:rPr>
        <w:t>3</w:t>
      </w:r>
    </w:p>
    <w:p w:rsidR="00F53BA7" w:rsidRPr="00B1628C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 xml:space="preserve">Železobetonové konstrukce </w:t>
      </w:r>
      <w:r w:rsidRPr="00B1628C">
        <w:rPr>
          <w:rFonts w:ascii="Arial" w:hAnsi="Arial" w:cs="Arial"/>
          <w:sz w:val="22"/>
        </w:rPr>
        <w:tab/>
        <w:t>45223500-1</w:t>
      </w:r>
    </w:p>
    <w:p w:rsidR="00F53BA7" w:rsidRPr="00B1628C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Stavební práce pro vodovodní a kanalizační potrubí</w:t>
      </w:r>
      <w:r w:rsidRPr="00B1628C">
        <w:rPr>
          <w:rFonts w:ascii="Arial" w:hAnsi="Arial" w:cs="Arial"/>
          <w:sz w:val="22"/>
        </w:rPr>
        <w:tab/>
        <w:t>45231300-8</w:t>
      </w:r>
      <w:r w:rsidRPr="00B1628C">
        <w:rPr>
          <w:rFonts w:ascii="Arial" w:hAnsi="Arial" w:cs="Arial"/>
          <w:sz w:val="22"/>
        </w:rPr>
        <w:tab/>
      </w:r>
    </w:p>
    <w:p w:rsidR="00F53BA7" w:rsidRPr="00B1628C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Instalace a montáž zařízení pro venkovní osvětlení</w:t>
      </w:r>
      <w:r w:rsidRPr="00B1628C">
        <w:rPr>
          <w:rFonts w:ascii="Arial" w:hAnsi="Arial" w:cs="Arial"/>
          <w:sz w:val="22"/>
        </w:rPr>
        <w:tab/>
        <w:t xml:space="preserve">45316100-6  </w:t>
      </w:r>
    </w:p>
    <w:p w:rsidR="00F53BA7" w:rsidRDefault="00F53BA7" w:rsidP="00F53BA7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Chodníky a jiné zpevněné plochy</w:t>
      </w:r>
      <w:r w:rsidRPr="00B1628C">
        <w:rPr>
          <w:rFonts w:ascii="Arial" w:hAnsi="Arial" w:cs="Arial"/>
          <w:sz w:val="22"/>
        </w:rPr>
        <w:tab/>
        <w:t>45233160-8</w:t>
      </w:r>
    </w:p>
    <w:p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</w:t>
      </w:r>
      <w:r w:rsidR="00596BC5">
        <w:rPr>
          <w:rFonts w:ascii="Arial" w:hAnsi="Arial" w:cs="Arial"/>
          <w:sz w:val="22"/>
          <w:szCs w:val="22"/>
        </w:rPr>
        <w:t>územní</w:t>
      </w:r>
      <w:r w:rsidRPr="00E650AF">
        <w:rPr>
          <w:rFonts w:ascii="Arial" w:hAnsi="Arial" w:cs="Arial"/>
          <w:sz w:val="22"/>
          <w:szCs w:val="22"/>
        </w:rPr>
        <w:t xml:space="preserve">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CF75D9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CF75D9">
        <w:rPr>
          <w:rFonts w:ascii="Arial" w:hAnsi="Arial" w:cs="Arial"/>
          <w:spacing w:val="-2"/>
          <w:sz w:val="22"/>
          <w:szCs w:val="22"/>
        </w:rPr>
        <w:t>vydané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:rsidR="00CF75D9" w:rsidRPr="00C32D07" w:rsidRDefault="00CF75D9" w:rsidP="00CF75D9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>
        <w:rPr>
          <w:rFonts w:ascii="Arial" w:hAnsi="Arial" w:cs="Arial"/>
          <w:b/>
          <w:bCs/>
          <w:spacing w:val="-2"/>
          <w:sz w:val="22"/>
          <w:szCs w:val="22"/>
        </w:rPr>
        <w:t>neb</w:t>
      </w:r>
      <w:r w:rsidRPr="00C32D07">
        <w:rPr>
          <w:rFonts w:ascii="Arial" w:hAnsi="Arial" w:cs="Arial"/>
          <w:b/>
          <w:bCs/>
          <w:spacing w:val="-2"/>
          <w:sz w:val="22"/>
          <w:szCs w:val="22"/>
        </w:rPr>
        <w:t xml:space="preserve">o osvědčení o registraci pro obor stavby vodního hospodářství a krajinného inženýrství </w:t>
      </w:r>
      <w:r w:rsidRPr="00C32D07">
        <w:rPr>
          <w:rFonts w:ascii="Arial" w:hAnsi="Arial" w:cs="Arial"/>
          <w:spacing w:val="-2"/>
          <w:sz w:val="22"/>
          <w:szCs w:val="22"/>
        </w:rPr>
        <w:t>vydané dle zákona č. 360/1992 Sb.,</w:t>
      </w:r>
      <w:r w:rsidRPr="00C32D07">
        <w:rPr>
          <w:rFonts w:ascii="Arial" w:hAnsi="Arial" w:cs="Arial"/>
          <w:sz w:val="22"/>
          <w:szCs w:val="22"/>
        </w:rPr>
        <w:t xml:space="preserve"> o výkonu povolání autorizovaných architektů a o výkonu povolání autorizovaných inženýrů</w:t>
      </w:r>
      <w:r w:rsidRPr="00C32D07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C32D07">
        <w:rPr>
          <w:rFonts w:ascii="Arial" w:hAnsi="Arial" w:cs="Arial"/>
          <w:sz w:val="22"/>
          <w:szCs w:val="22"/>
        </w:rPr>
        <w:t xml:space="preserve"> činných ve výstavbě, ve znění pozdějších předpisů, nebo jiný rovnocenný doklad dle § 45 ZZVZ;</w:t>
      </w:r>
    </w:p>
    <w:p w:rsidR="009D698D" w:rsidRPr="00C32D07" w:rsidRDefault="009D698D" w:rsidP="009D698D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C32D07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nebo osvědčení o registraci pro obor mosty a inženýrské konstrukce </w:t>
      </w:r>
      <w:r w:rsidR="00CF75D9" w:rsidRPr="00C32D07">
        <w:rPr>
          <w:rFonts w:ascii="Arial" w:hAnsi="Arial" w:cs="Arial"/>
          <w:bCs/>
          <w:spacing w:val="-2"/>
          <w:sz w:val="22"/>
          <w:szCs w:val="22"/>
        </w:rPr>
        <w:t>vydané</w:t>
      </w:r>
      <w:r w:rsidRPr="00C32D07">
        <w:rPr>
          <w:rFonts w:ascii="Arial" w:hAnsi="Arial" w:cs="Arial"/>
          <w:bCs/>
          <w:spacing w:val="-2"/>
          <w:sz w:val="22"/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předpisů, nebo jiný rovnocenný doklad dle § 45 ZZVZ;</w:t>
      </w:r>
    </w:p>
    <w:p w:rsidR="001B733C" w:rsidRDefault="00F86AE1" w:rsidP="00A61771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</w:rPr>
      </w:pPr>
      <w:r w:rsidRPr="00CA1697">
        <w:rPr>
          <w:rFonts w:ascii="Arial" w:hAnsi="Arial" w:cs="Arial"/>
          <w:b/>
        </w:rPr>
        <w:t>úřední oprávnění pro</w:t>
      </w:r>
      <w:r w:rsidRPr="00CA1697">
        <w:rPr>
          <w:rFonts w:ascii="Arial" w:hAnsi="Arial" w:cs="Arial"/>
        </w:rPr>
        <w:t xml:space="preserve"> </w:t>
      </w:r>
      <w:r w:rsidRPr="00CA1697">
        <w:rPr>
          <w:rFonts w:ascii="Arial" w:hAnsi="Arial" w:cs="Arial"/>
          <w:b/>
        </w:rPr>
        <w:t>ověřování výsledků zeměměřických činností</w:t>
      </w:r>
      <w:r w:rsidR="00025E6E" w:rsidRPr="00CA1697">
        <w:rPr>
          <w:rFonts w:ascii="Arial" w:hAnsi="Arial" w:cs="Arial"/>
        </w:rPr>
        <w:t xml:space="preserve"> dle zákona č. </w:t>
      </w:r>
      <w:r w:rsidR="00025E6E" w:rsidRPr="00CA1697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CA1697">
        <w:rPr>
          <w:rFonts w:ascii="Arial" w:hAnsi="Arial" w:cs="Arial"/>
        </w:rPr>
        <w:t xml:space="preserve"> zavedením, ve znění pozdějších předpisů, v rozsahu uvedeném v  § 1</w:t>
      </w:r>
      <w:r w:rsidR="002B7611" w:rsidRPr="00CA1697">
        <w:rPr>
          <w:rFonts w:ascii="Arial" w:hAnsi="Arial" w:cs="Arial"/>
        </w:rPr>
        <w:t>6f</w:t>
      </w:r>
      <w:r w:rsidR="00025E6E" w:rsidRPr="00CA1697">
        <w:rPr>
          <w:rFonts w:ascii="Arial" w:hAnsi="Arial" w:cs="Arial"/>
        </w:rPr>
        <w:t xml:space="preserve">  odst. 1 písm. a)     a c) cit. </w:t>
      </w:r>
      <w:proofErr w:type="gramStart"/>
      <w:r w:rsidR="00025E6E" w:rsidRPr="00CA1697">
        <w:rPr>
          <w:rFonts w:ascii="Arial" w:hAnsi="Arial" w:cs="Arial"/>
          <w:spacing w:val="-6"/>
        </w:rPr>
        <w:t>zákona</w:t>
      </w:r>
      <w:proofErr w:type="gramEnd"/>
      <w:r w:rsidR="00025E6E" w:rsidRPr="00CA1697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 w:rsidRPr="00CA1697">
        <w:rPr>
          <w:rFonts w:ascii="Arial" w:hAnsi="Arial" w:cs="Arial"/>
          <w:spacing w:val="-6"/>
        </w:rPr>
        <w:t>,</w:t>
      </w:r>
      <w:r w:rsidR="00AD7D0B" w:rsidRPr="00CA1697">
        <w:rPr>
          <w:rFonts w:ascii="Arial" w:hAnsi="Arial" w:cs="Arial"/>
          <w:spacing w:val="-6"/>
        </w:rPr>
        <w:t xml:space="preserve"> </w:t>
      </w:r>
      <w:r w:rsidR="00AD7D0B" w:rsidRPr="00CA1697">
        <w:rPr>
          <w:rFonts w:ascii="Arial" w:hAnsi="Arial" w:cs="Arial"/>
        </w:rPr>
        <w:t xml:space="preserve">nebo jiný rovnocenný doklad dle § 45 </w:t>
      </w:r>
      <w:r w:rsidR="0034013B" w:rsidRPr="00CA1697">
        <w:rPr>
          <w:rFonts w:ascii="Arial" w:hAnsi="Arial" w:cs="Arial"/>
        </w:rPr>
        <w:t>ZZVZ</w:t>
      </w:r>
      <w:r w:rsidR="00AD7D0B" w:rsidRPr="00CA1697">
        <w:rPr>
          <w:rFonts w:ascii="Arial" w:hAnsi="Arial" w:cs="Arial"/>
        </w:rPr>
        <w:t>;</w:t>
      </w:r>
      <w:r w:rsidR="00E907A1" w:rsidRPr="00CA1697">
        <w:rPr>
          <w:rFonts w:ascii="Arial" w:hAnsi="Arial" w:cs="Arial"/>
        </w:rPr>
        <w:t xml:space="preserve"> </w:t>
      </w:r>
    </w:p>
    <w:p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lastRenderedPageBreak/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:rsidR="00937000" w:rsidRPr="003A20C3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a)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A20C3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A20C3">
        <w:rPr>
          <w:rFonts w:ascii="Arial" w:hAnsi="Arial" w:cs="Arial"/>
          <w:sz w:val="22"/>
          <w:szCs w:val="22"/>
        </w:rPr>
        <w:t xml:space="preserve"> délkou </w:t>
      </w:r>
      <w:r w:rsidR="000944FA" w:rsidRPr="003A20C3">
        <w:rPr>
          <w:rFonts w:ascii="Arial" w:hAnsi="Arial" w:cs="Arial"/>
          <w:sz w:val="22"/>
          <w:szCs w:val="22"/>
        </w:rPr>
        <w:t>4</w:t>
      </w:r>
      <w:r w:rsidR="008C149E" w:rsidRPr="003A20C3">
        <w:rPr>
          <w:rFonts w:ascii="Arial" w:hAnsi="Arial" w:cs="Arial"/>
          <w:sz w:val="22"/>
          <w:szCs w:val="22"/>
        </w:rPr>
        <w:t>00</w:t>
      </w:r>
      <w:r w:rsidR="00A15B18" w:rsidRPr="003A20C3">
        <w:rPr>
          <w:rFonts w:ascii="Arial" w:hAnsi="Arial" w:cs="Arial"/>
          <w:sz w:val="22"/>
          <w:szCs w:val="22"/>
        </w:rPr>
        <w:t xml:space="preserve"> m</w:t>
      </w:r>
      <w:r w:rsidR="0062635B" w:rsidRPr="003A20C3">
        <w:rPr>
          <w:rFonts w:ascii="Arial" w:hAnsi="Arial" w:cs="Arial"/>
          <w:sz w:val="22"/>
          <w:szCs w:val="22"/>
        </w:rPr>
        <w:t xml:space="preserve"> </w:t>
      </w:r>
      <w:r w:rsidR="0049588C">
        <w:rPr>
          <w:rFonts w:ascii="Arial" w:hAnsi="Arial" w:cs="Arial"/>
          <w:sz w:val="22"/>
          <w:szCs w:val="22"/>
        </w:rPr>
        <w:t xml:space="preserve">v průtahu obce </w:t>
      </w:r>
    </w:p>
    <w:p w:rsidR="00942BE5" w:rsidRPr="00942BE5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pacing w:val="-6"/>
          <w:szCs w:val="22"/>
        </w:rPr>
        <w:t xml:space="preserve">b) </w:t>
      </w:r>
      <w:r w:rsidR="00D31BCB">
        <w:rPr>
          <w:rFonts w:cs="Arial"/>
          <w:b/>
          <w:spacing w:val="-6"/>
          <w:szCs w:val="22"/>
        </w:rPr>
        <w:t xml:space="preserve">minimálně </w:t>
      </w:r>
      <w:r w:rsidR="00E20C2D" w:rsidRPr="00D31BCB">
        <w:rPr>
          <w:rFonts w:cs="Arial"/>
          <w:b/>
          <w:spacing w:val="-6"/>
          <w:szCs w:val="22"/>
        </w:rPr>
        <w:t>1</w:t>
      </w:r>
      <w:r w:rsidR="000C03ED" w:rsidRPr="00D31BCB">
        <w:rPr>
          <w:rFonts w:cs="Arial"/>
          <w:b/>
          <w:spacing w:val="-6"/>
          <w:szCs w:val="22"/>
        </w:rPr>
        <w:t xml:space="preserve"> </w:t>
      </w:r>
      <w:r w:rsidRPr="00D31BCB">
        <w:rPr>
          <w:rFonts w:cs="Arial"/>
          <w:b/>
          <w:spacing w:val="-6"/>
          <w:szCs w:val="22"/>
        </w:rPr>
        <w:t>rekonstrukce nebo výstavba chodníku</w:t>
      </w:r>
      <w:r>
        <w:rPr>
          <w:rFonts w:cs="Arial"/>
          <w:spacing w:val="-6"/>
          <w:szCs w:val="22"/>
        </w:rPr>
        <w:t xml:space="preserve">. Tato referenční stavba může být součástí prokazovaných </w:t>
      </w:r>
      <w:r w:rsidR="00CA1697">
        <w:rPr>
          <w:rFonts w:cs="Arial"/>
          <w:spacing w:val="-6"/>
          <w:szCs w:val="22"/>
        </w:rPr>
        <w:t>referenčních staveb dle bodu a),</w:t>
      </w:r>
      <w:r>
        <w:rPr>
          <w:rFonts w:cs="Arial"/>
          <w:spacing w:val="-6"/>
          <w:szCs w:val="22"/>
        </w:rPr>
        <w:t xml:space="preserve"> </w:t>
      </w:r>
      <w:r w:rsidR="00404DAA">
        <w:rPr>
          <w:rFonts w:cs="Arial"/>
          <w:spacing w:val="-6"/>
          <w:szCs w:val="22"/>
        </w:rPr>
        <w:t xml:space="preserve">a </w:t>
      </w:r>
      <w:r>
        <w:rPr>
          <w:rFonts w:cs="Arial"/>
          <w:spacing w:val="-6"/>
          <w:szCs w:val="22"/>
        </w:rPr>
        <w:t xml:space="preserve">c). </w:t>
      </w:r>
    </w:p>
    <w:p w:rsidR="00CA1697" w:rsidRDefault="00404DAA" w:rsidP="00CA1697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zCs w:val="22"/>
        </w:rPr>
        <w:t>c</w:t>
      </w:r>
      <w:r w:rsidR="00CA1697" w:rsidRPr="00D31BCB">
        <w:rPr>
          <w:rFonts w:cs="Arial"/>
          <w:b/>
          <w:szCs w:val="22"/>
        </w:rPr>
        <w:t xml:space="preserve">) minimálně 1 rekonstrukce nebo výstavba </w:t>
      </w:r>
      <w:r w:rsidR="00CA1697">
        <w:rPr>
          <w:rFonts w:cs="Arial"/>
          <w:b/>
          <w:szCs w:val="22"/>
        </w:rPr>
        <w:t>kanalizace</w:t>
      </w:r>
      <w:r w:rsidR="00CA1697">
        <w:rPr>
          <w:rFonts w:cs="Arial"/>
          <w:szCs w:val="22"/>
        </w:rPr>
        <w:t>. Tato referenční stavba může být součástí prokazovaných referenčních staveb dle bodu a)</w:t>
      </w:r>
      <w:r>
        <w:rPr>
          <w:rFonts w:cs="Arial"/>
          <w:szCs w:val="22"/>
        </w:rPr>
        <w:t xml:space="preserve"> a</w:t>
      </w:r>
      <w:r w:rsidR="00CA1697">
        <w:rPr>
          <w:rFonts w:cs="Arial"/>
          <w:szCs w:val="22"/>
        </w:rPr>
        <w:t xml:space="preserve"> b).</w:t>
      </w:r>
      <w:r w:rsidR="00CA1697" w:rsidRPr="003A20C3">
        <w:rPr>
          <w:rFonts w:cs="Arial"/>
          <w:szCs w:val="22"/>
        </w:rPr>
        <w:t xml:space="preserve"> </w:t>
      </w:r>
    </w:p>
    <w:p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lastRenderedPageBreak/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1141E2" w:rsidRDefault="001141E2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:rsidR="00611A98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:rsidR="00CA1697" w:rsidRPr="00CA1697" w:rsidRDefault="00CA1697" w:rsidP="00CA1697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131CD">
        <w:rPr>
          <w:rFonts w:ascii="Arial" w:hAnsi="Arial" w:cs="Arial"/>
          <w:sz w:val="22"/>
          <w:szCs w:val="22"/>
        </w:rPr>
        <w:t>rojektov</w:t>
      </w:r>
      <w:r>
        <w:rPr>
          <w:rFonts w:ascii="Arial" w:hAnsi="Arial" w:cs="Arial"/>
          <w:sz w:val="22"/>
          <w:szCs w:val="22"/>
        </w:rPr>
        <w:t>á</w:t>
      </w:r>
      <w:r w:rsidRPr="00D131CD">
        <w:rPr>
          <w:rFonts w:ascii="Arial" w:hAnsi="Arial" w:cs="Arial"/>
          <w:sz w:val="22"/>
          <w:szCs w:val="22"/>
        </w:rPr>
        <w:t xml:space="preserve"> dokumentace „III/1292 Obrataň, ul. Nádražní</w:t>
      </w:r>
      <w:r>
        <w:rPr>
          <w:rFonts w:ascii="Arial" w:hAnsi="Arial" w:cs="Arial"/>
          <w:sz w:val="22"/>
          <w:szCs w:val="22"/>
        </w:rPr>
        <w:t>“, vypracovaná</w:t>
      </w:r>
      <w:r w:rsidRPr="00D131CD">
        <w:rPr>
          <w:rFonts w:ascii="Arial" w:hAnsi="Arial" w:cs="Arial"/>
          <w:sz w:val="22"/>
          <w:szCs w:val="22"/>
        </w:rPr>
        <w:t xml:space="preserve"> v září 2023 ve stupni projektové dokumentace pro </w:t>
      </w:r>
      <w:r w:rsidR="00980CC5">
        <w:rPr>
          <w:rFonts w:ascii="Arial" w:hAnsi="Arial" w:cs="Arial"/>
          <w:sz w:val="22"/>
          <w:szCs w:val="22"/>
        </w:rPr>
        <w:t>společné uzemní a stavební povolení</w:t>
      </w:r>
      <w:r w:rsidRPr="00D131CD">
        <w:rPr>
          <w:rFonts w:ascii="Arial" w:hAnsi="Arial" w:cs="Arial"/>
          <w:sz w:val="22"/>
          <w:szCs w:val="22"/>
        </w:rPr>
        <w:t xml:space="preserve"> (dále jen „</w:t>
      </w:r>
      <w:r w:rsidR="00980CC5">
        <w:rPr>
          <w:rFonts w:ascii="Arial" w:hAnsi="Arial" w:cs="Arial"/>
          <w:sz w:val="22"/>
          <w:szCs w:val="22"/>
        </w:rPr>
        <w:t>DUSP</w:t>
      </w:r>
      <w:r w:rsidRPr="00D131CD">
        <w:rPr>
          <w:rFonts w:ascii="Arial" w:hAnsi="Arial" w:cs="Arial"/>
          <w:sz w:val="22"/>
          <w:szCs w:val="22"/>
        </w:rPr>
        <w:t>“) společností Dopravně inženýrská kancelář, s r.o</w:t>
      </w:r>
      <w:r w:rsidR="00980CC5">
        <w:rPr>
          <w:rFonts w:ascii="Arial" w:hAnsi="Arial" w:cs="Arial"/>
          <w:sz w:val="22"/>
          <w:szCs w:val="22"/>
        </w:rPr>
        <w:t xml:space="preserve">., </w:t>
      </w:r>
      <w:r w:rsidRPr="00176362">
        <w:rPr>
          <w:rFonts w:ascii="Arial" w:hAnsi="Arial" w:cs="Arial"/>
          <w:sz w:val="22"/>
          <w:szCs w:val="22"/>
        </w:rPr>
        <w:t>v digitální podobě</w:t>
      </w:r>
    </w:p>
    <w:p w:rsidR="00D924A2" w:rsidRPr="00176362" w:rsidRDefault="00CA1697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131CD">
        <w:rPr>
          <w:rFonts w:ascii="Arial" w:hAnsi="Arial" w:cs="Arial"/>
          <w:sz w:val="22"/>
          <w:szCs w:val="22"/>
        </w:rPr>
        <w:t>rojektov</w:t>
      </w:r>
      <w:r>
        <w:rPr>
          <w:rFonts w:ascii="Arial" w:hAnsi="Arial" w:cs="Arial"/>
          <w:sz w:val="22"/>
          <w:szCs w:val="22"/>
        </w:rPr>
        <w:t>á</w:t>
      </w:r>
      <w:r w:rsidRPr="00D131CD">
        <w:rPr>
          <w:rFonts w:ascii="Arial" w:hAnsi="Arial" w:cs="Arial"/>
          <w:sz w:val="22"/>
          <w:szCs w:val="22"/>
        </w:rPr>
        <w:t xml:space="preserve"> dokumentace „III/1292 Obrataň, ul. Nádražní</w:t>
      </w:r>
      <w:r>
        <w:rPr>
          <w:rFonts w:ascii="Arial" w:hAnsi="Arial" w:cs="Arial"/>
          <w:sz w:val="22"/>
          <w:szCs w:val="22"/>
        </w:rPr>
        <w:t>“, vypracovaná</w:t>
      </w:r>
      <w:r w:rsidRPr="00D131CD">
        <w:rPr>
          <w:rFonts w:ascii="Arial" w:hAnsi="Arial" w:cs="Arial"/>
          <w:sz w:val="22"/>
          <w:szCs w:val="22"/>
        </w:rPr>
        <w:t xml:space="preserve"> v září 2023 ve stupni projektové dokumentace pro provádění stavby (dále jen „PDPS“) společností Dopravně inženýrská kancelář,</w:t>
      </w:r>
      <w:r w:rsidR="00980CC5">
        <w:rPr>
          <w:rFonts w:ascii="Arial" w:hAnsi="Arial" w:cs="Arial"/>
          <w:sz w:val="22"/>
          <w:szCs w:val="22"/>
        </w:rPr>
        <w:t xml:space="preserve"> s </w:t>
      </w:r>
      <w:proofErr w:type="spellStart"/>
      <w:r w:rsidR="00980CC5">
        <w:rPr>
          <w:rFonts w:ascii="Arial" w:hAnsi="Arial" w:cs="Arial"/>
          <w:sz w:val="22"/>
          <w:szCs w:val="22"/>
        </w:rPr>
        <w:t>r.o</w:t>
      </w:r>
      <w:proofErr w:type="spellEnd"/>
      <w:r w:rsidR="00980CC5">
        <w:rPr>
          <w:rFonts w:ascii="Arial" w:hAnsi="Arial" w:cs="Arial"/>
          <w:sz w:val="22"/>
          <w:szCs w:val="22"/>
        </w:rPr>
        <w:t xml:space="preserve">, </w:t>
      </w:r>
      <w:r w:rsidR="00D924A2" w:rsidRPr="00176362">
        <w:rPr>
          <w:rFonts w:ascii="Arial" w:hAnsi="Arial" w:cs="Arial"/>
          <w:sz w:val="22"/>
          <w:szCs w:val="22"/>
        </w:rPr>
        <w:t>v digitální podobě</w:t>
      </w:r>
    </w:p>
    <w:p w:rsidR="00980CC5" w:rsidRDefault="00980CC5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</w:t>
      </w:r>
      <w:r w:rsidRPr="00F50DD8">
        <w:rPr>
          <w:rFonts w:ascii="Arial" w:hAnsi="Arial" w:cs="Arial"/>
          <w:sz w:val="22"/>
          <w:szCs w:val="22"/>
        </w:rPr>
        <w:t xml:space="preserve"> dokumentace „Chodník pro pěší k nádraží na pozemcích </w:t>
      </w:r>
      <w:proofErr w:type="spellStart"/>
      <w:r w:rsidRPr="00F50DD8">
        <w:rPr>
          <w:rFonts w:ascii="Arial" w:hAnsi="Arial" w:cs="Arial"/>
          <w:sz w:val="22"/>
          <w:szCs w:val="22"/>
        </w:rPr>
        <w:t>parc</w:t>
      </w:r>
      <w:proofErr w:type="spellEnd"/>
      <w:r w:rsidRPr="00F50DD8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50DD8">
        <w:rPr>
          <w:rFonts w:ascii="Arial" w:hAnsi="Arial" w:cs="Arial"/>
          <w:sz w:val="22"/>
          <w:szCs w:val="22"/>
        </w:rPr>
        <w:t>č.</w:t>
      </w:r>
      <w:proofErr w:type="gramEnd"/>
      <w:r w:rsidRPr="00F50DD8">
        <w:rPr>
          <w:rFonts w:ascii="Arial" w:hAnsi="Arial" w:cs="Arial"/>
          <w:sz w:val="22"/>
          <w:szCs w:val="22"/>
        </w:rPr>
        <w:t xml:space="preserve"> 744/5, 1763/2 a 1779/1 v katastrálním území Obrataň“, vypraco</w:t>
      </w:r>
      <w:r>
        <w:rPr>
          <w:rFonts w:ascii="Arial" w:hAnsi="Arial" w:cs="Arial"/>
          <w:sz w:val="22"/>
          <w:szCs w:val="22"/>
        </w:rPr>
        <w:t>vaná</w:t>
      </w:r>
      <w:r w:rsidRPr="00F50DD8">
        <w:rPr>
          <w:rFonts w:ascii="Arial" w:hAnsi="Arial" w:cs="Arial"/>
          <w:sz w:val="22"/>
          <w:szCs w:val="22"/>
        </w:rPr>
        <w:t xml:space="preserve"> firmou INTEGRA projektová a inženýrská stavební kancelář </w:t>
      </w:r>
    </w:p>
    <w:p w:rsidR="00D924A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Stavební povolení č. j.: </w:t>
      </w:r>
      <w:r w:rsidR="00980CC5">
        <w:rPr>
          <w:rFonts w:ascii="TimesNewRoman" w:hAnsi="TimesNewRoman" w:cs="TimesNewRoman"/>
          <w:sz w:val="22"/>
          <w:szCs w:val="22"/>
        </w:rPr>
        <w:t>MP/03204/2024/</w:t>
      </w:r>
      <w:proofErr w:type="spellStart"/>
      <w:r w:rsidR="00980CC5">
        <w:rPr>
          <w:rFonts w:ascii="TimesNewRoman" w:hAnsi="TimesNewRoman" w:cs="TimesNewRoman"/>
          <w:sz w:val="22"/>
          <w:szCs w:val="22"/>
        </w:rPr>
        <w:t>ZeN</w:t>
      </w:r>
      <w:proofErr w:type="spellEnd"/>
      <w:r w:rsidR="00980CC5">
        <w:rPr>
          <w:rFonts w:ascii="Arial" w:hAnsi="Arial" w:cs="Arial"/>
          <w:sz w:val="22"/>
          <w:szCs w:val="22"/>
        </w:rPr>
        <w:t xml:space="preserve"> vydané O</w:t>
      </w:r>
      <w:r w:rsidRPr="00176362">
        <w:rPr>
          <w:rFonts w:ascii="Arial" w:hAnsi="Arial" w:cs="Arial"/>
          <w:sz w:val="22"/>
          <w:szCs w:val="22"/>
        </w:rPr>
        <w:t xml:space="preserve">dborem </w:t>
      </w:r>
      <w:r w:rsidR="00980CC5">
        <w:rPr>
          <w:rFonts w:ascii="Arial" w:hAnsi="Arial" w:cs="Arial"/>
          <w:sz w:val="22"/>
          <w:szCs w:val="22"/>
        </w:rPr>
        <w:t xml:space="preserve">výstavby, životního prostředí a památkové péče </w:t>
      </w:r>
      <w:proofErr w:type="spellStart"/>
      <w:r w:rsidRPr="00176362">
        <w:rPr>
          <w:rFonts w:ascii="Arial" w:hAnsi="Arial" w:cs="Arial"/>
          <w:sz w:val="22"/>
          <w:szCs w:val="22"/>
        </w:rPr>
        <w:t>MěÚ</w:t>
      </w:r>
      <w:proofErr w:type="spellEnd"/>
      <w:r w:rsidRPr="00176362">
        <w:rPr>
          <w:rFonts w:ascii="Arial" w:hAnsi="Arial" w:cs="Arial"/>
          <w:sz w:val="22"/>
          <w:szCs w:val="22"/>
        </w:rPr>
        <w:t xml:space="preserve"> </w:t>
      </w:r>
      <w:r w:rsidR="00980CC5">
        <w:rPr>
          <w:rFonts w:ascii="Arial" w:hAnsi="Arial" w:cs="Arial"/>
          <w:sz w:val="22"/>
          <w:szCs w:val="22"/>
        </w:rPr>
        <w:t xml:space="preserve">Pacov </w:t>
      </w:r>
      <w:r w:rsidRPr="00176362">
        <w:rPr>
          <w:rFonts w:ascii="Arial" w:hAnsi="Arial" w:cs="Arial"/>
          <w:sz w:val="22"/>
          <w:szCs w:val="22"/>
        </w:rPr>
        <w:t xml:space="preserve">dne </w:t>
      </w:r>
      <w:r w:rsidR="00980CC5">
        <w:rPr>
          <w:rFonts w:ascii="Arial" w:hAnsi="Arial" w:cs="Arial"/>
          <w:sz w:val="22"/>
          <w:szCs w:val="22"/>
        </w:rPr>
        <w:t>20. 3. 2024</w:t>
      </w:r>
      <w:r w:rsidR="004805CC">
        <w:rPr>
          <w:rFonts w:ascii="Arial" w:hAnsi="Arial" w:cs="Arial"/>
          <w:sz w:val="22"/>
          <w:szCs w:val="22"/>
        </w:rPr>
        <w:t xml:space="preserve"> (vydané pro Kraj Vysočina)</w:t>
      </w:r>
    </w:p>
    <w:p w:rsidR="004805CC" w:rsidRPr="00FB1467" w:rsidRDefault="004805CC" w:rsidP="00DE115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Stavební p</w:t>
      </w:r>
      <w:r w:rsidRPr="00DE1152">
        <w:rPr>
          <w:rFonts w:ascii="Arial" w:hAnsi="Arial" w:cs="Arial"/>
          <w:sz w:val="22"/>
          <w:szCs w:val="22"/>
        </w:rPr>
        <w:t xml:space="preserve">ovolení č. j.: </w:t>
      </w:r>
      <w:r w:rsidR="00DE1152" w:rsidRPr="00DE1152">
        <w:rPr>
          <w:rFonts w:ascii="TimesNewRoman" w:hAnsi="TimesNewRoman" w:cs="TimesNewRoman"/>
          <w:sz w:val="22"/>
          <w:szCs w:val="22"/>
        </w:rPr>
        <w:t>MP/05126/2024/</w:t>
      </w:r>
      <w:proofErr w:type="spellStart"/>
      <w:r w:rsidR="00DE1152" w:rsidRPr="00DE1152">
        <w:rPr>
          <w:rFonts w:ascii="TimesNewRoman" w:hAnsi="TimesNewRoman" w:cs="TimesNewRoman"/>
          <w:sz w:val="22"/>
          <w:szCs w:val="22"/>
        </w:rPr>
        <w:t>ZeN</w:t>
      </w:r>
      <w:proofErr w:type="spellEnd"/>
      <w:r w:rsidR="00DE1152" w:rsidRPr="00DE1152">
        <w:rPr>
          <w:rFonts w:ascii="TimesNewRoman" w:hAnsi="TimesNewRoman" w:cs="TimesNewRoman"/>
          <w:sz w:val="22"/>
          <w:szCs w:val="22"/>
        </w:rPr>
        <w:t xml:space="preserve"> </w:t>
      </w:r>
      <w:r w:rsidRPr="00DE1152">
        <w:rPr>
          <w:rFonts w:ascii="Arial" w:hAnsi="Arial" w:cs="Arial"/>
          <w:sz w:val="22"/>
          <w:szCs w:val="22"/>
        </w:rPr>
        <w:t xml:space="preserve">vydané Odborem výstavby, životního prostředí a památkové péče </w:t>
      </w:r>
      <w:proofErr w:type="spellStart"/>
      <w:r w:rsidRPr="00DE1152">
        <w:rPr>
          <w:rFonts w:ascii="Arial" w:hAnsi="Arial" w:cs="Arial"/>
          <w:sz w:val="22"/>
          <w:szCs w:val="22"/>
        </w:rPr>
        <w:t>MěÚ</w:t>
      </w:r>
      <w:proofErr w:type="spellEnd"/>
      <w:r w:rsidRPr="00DE1152">
        <w:rPr>
          <w:rFonts w:ascii="Arial" w:hAnsi="Arial" w:cs="Arial"/>
          <w:sz w:val="22"/>
          <w:szCs w:val="22"/>
        </w:rPr>
        <w:t xml:space="preserve"> Pacov dne </w:t>
      </w:r>
      <w:r w:rsidR="00DE1152" w:rsidRPr="00DE1152">
        <w:rPr>
          <w:rFonts w:ascii="Arial" w:hAnsi="Arial" w:cs="Arial"/>
          <w:sz w:val="22"/>
          <w:szCs w:val="22"/>
        </w:rPr>
        <w:t>4. 4</w:t>
      </w:r>
      <w:r w:rsidRPr="00DE1152">
        <w:rPr>
          <w:rFonts w:ascii="Arial" w:hAnsi="Arial" w:cs="Arial"/>
          <w:sz w:val="22"/>
          <w:szCs w:val="22"/>
        </w:rPr>
        <w:t xml:space="preserve">. 2024 (vydané </w:t>
      </w:r>
      <w:r w:rsidRPr="00FB1467">
        <w:rPr>
          <w:rFonts w:ascii="Arial" w:hAnsi="Arial" w:cs="Arial"/>
          <w:sz w:val="22"/>
          <w:szCs w:val="22"/>
        </w:rPr>
        <w:t>pro obec Obrataň)</w:t>
      </w:r>
    </w:p>
    <w:p w:rsidR="004805CC" w:rsidRPr="00FB1467" w:rsidRDefault="00FB1467" w:rsidP="002743D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B1467">
        <w:rPr>
          <w:rFonts w:ascii="Arial" w:hAnsi="Arial" w:cs="Arial"/>
          <w:sz w:val="22"/>
          <w:szCs w:val="22"/>
        </w:rPr>
        <w:t>Smlouva o realizaci překládky sítě elektronických komunikací č. VPI/MJ/2023/00109 (CETIN)</w:t>
      </w:r>
    </w:p>
    <w:p w:rsidR="00FB1467" w:rsidRPr="00FB1467" w:rsidRDefault="00FB1467" w:rsidP="002743D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B1467">
        <w:rPr>
          <w:rFonts w:ascii="Arial" w:hAnsi="Arial" w:cs="Arial"/>
          <w:bCs/>
          <w:sz w:val="22"/>
          <w:szCs w:val="22"/>
        </w:rPr>
        <w:t>Smlouva o přeložce zařízení distribuční soustavy č. 9090014733 (uzavřená s </w:t>
      </w:r>
      <w:proofErr w:type="gramStart"/>
      <w:r w:rsidRPr="00FB1467">
        <w:rPr>
          <w:rFonts w:ascii="Arial" w:hAnsi="Arial" w:cs="Arial"/>
          <w:bCs/>
          <w:sz w:val="22"/>
          <w:szCs w:val="22"/>
        </w:rPr>
        <w:t>EG.D pro</w:t>
      </w:r>
      <w:proofErr w:type="gramEnd"/>
      <w:r w:rsidRPr="00FB1467">
        <w:rPr>
          <w:rFonts w:ascii="Arial" w:hAnsi="Arial" w:cs="Arial"/>
          <w:bCs/>
          <w:sz w:val="22"/>
          <w:szCs w:val="22"/>
        </w:rPr>
        <w:t xml:space="preserve"> SO 501)</w:t>
      </w:r>
    </w:p>
    <w:p w:rsidR="00DE42B3" w:rsidRPr="00707B6F" w:rsidRDefault="00DE42B3" w:rsidP="00DE42B3">
      <w:pPr>
        <w:pStyle w:val="Nadpis1"/>
      </w:pPr>
      <w:r w:rsidRPr="00707B6F">
        <w:lastRenderedPageBreak/>
        <w:t>Elektronický nástroj, komunikace mezi zadavatel</w:t>
      </w:r>
      <w:r w:rsidR="0072281C">
        <w:t>i</w:t>
      </w:r>
      <w:r w:rsidRPr="00707B6F">
        <w:t xml:space="preserve"> a dodavatelem</w:t>
      </w:r>
    </w:p>
    <w:p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6B2D49" w:rsidRDefault="006B2D49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nabídk</w:t>
      </w:r>
      <w:bookmarkEnd w:id="13"/>
      <w:r w:rsidR="00DD1BCE">
        <w:t>y</w:t>
      </w:r>
    </w:p>
    <w:p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lastRenderedPageBreak/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75669A" w:rsidRDefault="0075669A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75669A" w:rsidRDefault="0075669A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75669A" w:rsidRDefault="0075669A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:rsidR="00731933" w:rsidRDefault="00A764F9" w:rsidP="00B40198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:rsidR="0026568E" w:rsidRPr="00B40198" w:rsidRDefault="0026568E" w:rsidP="0026568E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1E5975">
        <w:rPr>
          <w:rFonts w:ascii="Arial" w:hAnsi="Arial" w:cs="Arial"/>
          <w:b/>
          <w:sz w:val="22"/>
          <w:szCs w:val="22"/>
        </w:rPr>
        <w:t>2</w:t>
      </w:r>
      <w:r w:rsidR="00877003">
        <w:rPr>
          <w:rFonts w:ascii="Arial" w:hAnsi="Arial" w:cs="Arial"/>
          <w:b/>
          <w:sz w:val="22"/>
          <w:szCs w:val="22"/>
        </w:rPr>
        <w:t>0</w:t>
      </w:r>
      <w:bookmarkStart w:id="21" w:name="_GoBack"/>
      <w:bookmarkEnd w:id="21"/>
      <w:r w:rsidR="00BC0F5A" w:rsidRPr="0075669A">
        <w:rPr>
          <w:rFonts w:ascii="Arial" w:hAnsi="Arial" w:cs="Arial"/>
          <w:b/>
          <w:sz w:val="22"/>
          <w:szCs w:val="22"/>
        </w:rPr>
        <w:t xml:space="preserve">. </w:t>
      </w:r>
      <w:r w:rsidR="00CF75D9" w:rsidRPr="0075669A">
        <w:rPr>
          <w:rFonts w:ascii="Arial" w:hAnsi="Arial" w:cs="Arial"/>
          <w:b/>
          <w:sz w:val="22"/>
          <w:szCs w:val="22"/>
        </w:rPr>
        <w:t>2</w:t>
      </w:r>
      <w:r w:rsidR="00BC0F5A" w:rsidRPr="0075669A">
        <w:rPr>
          <w:rFonts w:ascii="Arial" w:hAnsi="Arial" w:cs="Arial"/>
          <w:b/>
          <w:sz w:val="22"/>
          <w:szCs w:val="22"/>
        </w:rPr>
        <w:t>.</w:t>
      </w:r>
      <w:r w:rsidRPr="0075669A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75669A">
        <w:rPr>
          <w:rFonts w:ascii="Arial" w:hAnsi="Arial" w:cs="Arial"/>
          <w:b/>
          <w:sz w:val="22"/>
          <w:szCs w:val="22"/>
        </w:rPr>
        <w:t>2</w:t>
      </w:r>
      <w:r w:rsidR="00CF75D9" w:rsidRPr="0075669A">
        <w:rPr>
          <w:rFonts w:ascii="Arial" w:hAnsi="Arial" w:cs="Arial"/>
          <w:b/>
          <w:sz w:val="22"/>
          <w:szCs w:val="22"/>
        </w:rPr>
        <w:t>5</w:t>
      </w:r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:rsidR="00F86F02" w:rsidRPr="00526629" w:rsidRDefault="00F86F02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75669A" w:rsidRDefault="0075669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lastRenderedPageBreak/>
        <w:t>Další ustanovení</w:t>
      </w:r>
      <w:bookmarkEnd w:id="24"/>
      <w:bookmarkEnd w:id="25"/>
    </w:p>
    <w:p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3831FD" w:rsidRDefault="003831FD" w:rsidP="004F2540">
      <w:pPr>
        <w:rPr>
          <w:rFonts w:ascii="Arial" w:hAnsi="Arial" w:cs="Arial"/>
          <w:sz w:val="22"/>
          <w:szCs w:val="22"/>
        </w:rPr>
      </w:pPr>
    </w:p>
    <w:p w:rsidR="00CF75D9" w:rsidRDefault="00CF75D9" w:rsidP="004F2540">
      <w:pPr>
        <w:rPr>
          <w:rFonts w:ascii="Arial" w:hAnsi="Arial" w:cs="Arial"/>
          <w:sz w:val="22"/>
          <w:szCs w:val="22"/>
        </w:rPr>
      </w:pPr>
    </w:p>
    <w:p w:rsidR="004F2540" w:rsidRPr="00CF75D9" w:rsidRDefault="0006545A" w:rsidP="004F2540">
      <w:pPr>
        <w:rPr>
          <w:rFonts w:ascii="Arial" w:hAnsi="Arial" w:cs="Arial"/>
          <w:sz w:val="22"/>
          <w:szCs w:val="22"/>
        </w:rPr>
      </w:pPr>
      <w:r w:rsidRPr="00CF75D9">
        <w:rPr>
          <w:rFonts w:ascii="Arial" w:hAnsi="Arial" w:cs="Arial"/>
          <w:sz w:val="22"/>
          <w:szCs w:val="22"/>
        </w:rPr>
        <w:t xml:space="preserve">Ing. </w:t>
      </w:r>
      <w:r w:rsidR="00CF75D9" w:rsidRPr="00CF75D9">
        <w:rPr>
          <w:rFonts w:ascii="Arial" w:hAnsi="Arial" w:cs="Arial"/>
          <w:sz w:val="22"/>
          <w:szCs w:val="22"/>
        </w:rPr>
        <w:t>Vladimír Novotný</w:t>
      </w:r>
    </w:p>
    <w:p w:rsidR="0006545A" w:rsidRDefault="00CF75D9" w:rsidP="004F2540">
      <w:pPr>
        <w:rPr>
          <w:rFonts w:ascii="Arial" w:hAnsi="Arial" w:cs="Arial"/>
          <w:sz w:val="22"/>
          <w:szCs w:val="22"/>
        </w:rPr>
      </w:pPr>
      <w:r w:rsidRPr="00CF75D9">
        <w:rPr>
          <w:rFonts w:ascii="Arial" w:hAnsi="Arial" w:cs="Arial"/>
          <w:sz w:val="22"/>
          <w:szCs w:val="22"/>
        </w:rPr>
        <w:t xml:space="preserve">2. </w:t>
      </w:r>
      <w:r w:rsidR="0006545A" w:rsidRPr="00CF75D9">
        <w:rPr>
          <w:rFonts w:ascii="Arial" w:hAnsi="Arial" w:cs="Arial"/>
          <w:sz w:val="22"/>
          <w:szCs w:val="22"/>
        </w:rPr>
        <w:t>náměstek hejtmana</w:t>
      </w:r>
    </w:p>
    <w:sectPr w:rsidR="0006545A" w:rsidSect="00A46B4C">
      <w:headerReference w:type="default" r:id="rId10"/>
      <w:footerReference w:type="default" r:id="rId11"/>
      <w:pgSz w:w="11906" w:h="16838"/>
      <w:pgMar w:top="1247" w:right="1134" w:bottom="1247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B0" w:rsidRDefault="00962CB0">
      <w:r>
        <w:separator/>
      </w:r>
    </w:p>
  </w:endnote>
  <w:endnote w:type="continuationSeparator" w:id="0">
    <w:p w:rsidR="00962CB0" w:rsidRDefault="00962CB0">
      <w:r>
        <w:continuationSeparator/>
      </w:r>
    </w:p>
  </w:endnote>
  <w:endnote w:type="continuationNotice" w:id="1">
    <w:p w:rsidR="00962CB0" w:rsidRDefault="00962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AEA" w:rsidRPr="00AF7751" w:rsidRDefault="00F66AEA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77003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77003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B0" w:rsidRDefault="00962CB0">
      <w:r>
        <w:separator/>
      </w:r>
    </w:p>
  </w:footnote>
  <w:footnote w:type="continuationSeparator" w:id="0">
    <w:p w:rsidR="00962CB0" w:rsidRDefault="00962CB0">
      <w:r>
        <w:continuationSeparator/>
      </w:r>
    </w:p>
  </w:footnote>
  <w:footnote w:type="continuationNotice" w:id="1">
    <w:p w:rsidR="00962CB0" w:rsidRDefault="00962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AEA" w:rsidRDefault="00F66AEA">
    <w:pPr>
      <w:pStyle w:val="Zhlav"/>
    </w:pPr>
  </w:p>
  <w:p w:rsidR="00F66AEA" w:rsidRDefault="00F66A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2"/>
  </w:num>
  <w:num w:numId="2">
    <w:abstractNumId w:val="11"/>
  </w:num>
  <w:num w:numId="3">
    <w:abstractNumId w:val="25"/>
  </w:num>
  <w:num w:numId="4">
    <w:abstractNumId w:val="20"/>
  </w:num>
  <w:num w:numId="5">
    <w:abstractNumId w:val="8"/>
  </w:num>
  <w:num w:numId="6">
    <w:abstractNumId w:val="18"/>
  </w:num>
  <w:num w:numId="7">
    <w:abstractNumId w:val="2"/>
  </w:num>
  <w:num w:numId="8">
    <w:abstractNumId w:val="10"/>
  </w:num>
  <w:num w:numId="9">
    <w:abstractNumId w:val="24"/>
  </w:num>
  <w:num w:numId="10">
    <w:abstractNumId w:val="15"/>
  </w:num>
  <w:num w:numId="11">
    <w:abstractNumId w:val="5"/>
  </w:num>
  <w:num w:numId="12">
    <w:abstractNumId w:val="21"/>
  </w:num>
  <w:num w:numId="13">
    <w:abstractNumId w:val="14"/>
  </w:num>
  <w:num w:numId="14">
    <w:abstractNumId w:val="23"/>
  </w:num>
  <w:num w:numId="15">
    <w:abstractNumId w:val="19"/>
  </w:num>
  <w:num w:numId="16">
    <w:abstractNumId w:val="16"/>
  </w:num>
  <w:num w:numId="17">
    <w:abstractNumId w:val="13"/>
  </w:num>
  <w:num w:numId="18">
    <w:abstractNumId w:val="6"/>
  </w:num>
  <w:num w:numId="19">
    <w:abstractNumId w:val="7"/>
  </w:num>
  <w:num w:numId="20">
    <w:abstractNumId w:val="4"/>
  </w:num>
  <w:num w:numId="21">
    <w:abstractNumId w:val="3"/>
  </w:num>
  <w:num w:numId="22">
    <w:abstractNumId w:val="17"/>
  </w:num>
  <w:num w:numId="23">
    <w:abstractNumId w:val="0"/>
  </w:num>
  <w:num w:numId="24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15"/>
  </w:num>
  <w:num w:numId="27">
    <w:abstractNumId w:val="1"/>
  </w:num>
  <w:num w:numId="2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072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0C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1E2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5CC"/>
    <w:rsid w:val="001D2FBC"/>
    <w:rsid w:val="001D5A87"/>
    <w:rsid w:val="001D6CB4"/>
    <w:rsid w:val="001D79D3"/>
    <w:rsid w:val="001E175F"/>
    <w:rsid w:val="001E191C"/>
    <w:rsid w:val="001E3FEB"/>
    <w:rsid w:val="001E404B"/>
    <w:rsid w:val="001E5975"/>
    <w:rsid w:val="001E5AE5"/>
    <w:rsid w:val="001F215C"/>
    <w:rsid w:val="001F2541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17E39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68E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11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527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6F70"/>
    <w:rsid w:val="00367040"/>
    <w:rsid w:val="00370574"/>
    <w:rsid w:val="00370D0E"/>
    <w:rsid w:val="00370FB2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1FD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4DAA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5CC"/>
    <w:rsid w:val="004807C6"/>
    <w:rsid w:val="00481283"/>
    <w:rsid w:val="00482979"/>
    <w:rsid w:val="00483941"/>
    <w:rsid w:val="00484853"/>
    <w:rsid w:val="00484A1B"/>
    <w:rsid w:val="004856EB"/>
    <w:rsid w:val="004910F0"/>
    <w:rsid w:val="00491AB2"/>
    <w:rsid w:val="004920BB"/>
    <w:rsid w:val="00492CDB"/>
    <w:rsid w:val="00492D67"/>
    <w:rsid w:val="00493604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6E5C"/>
    <w:rsid w:val="004B0287"/>
    <w:rsid w:val="004B05BE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288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26629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BC5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1521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3386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13C8"/>
    <w:rsid w:val="006B2491"/>
    <w:rsid w:val="006B270A"/>
    <w:rsid w:val="006B2D49"/>
    <w:rsid w:val="006B5A6B"/>
    <w:rsid w:val="006B63FD"/>
    <w:rsid w:val="006B6EFA"/>
    <w:rsid w:val="006B70C0"/>
    <w:rsid w:val="006C0CB2"/>
    <w:rsid w:val="006C1F24"/>
    <w:rsid w:val="006C2AB4"/>
    <w:rsid w:val="006C3299"/>
    <w:rsid w:val="006C4F77"/>
    <w:rsid w:val="006C5EAF"/>
    <w:rsid w:val="006C6038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4B5B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3F5F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4034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69A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6EE"/>
    <w:rsid w:val="007A090A"/>
    <w:rsid w:val="007A13F8"/>
    <w:rsid w:val="007A1508"/>
    <w:rsid w:val="007A213E"/>
    <w:rsid w:val="007A4880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6ED5"/>
    <w:rsid w:val="00877003"/>
    <w:rsid w:val="00877059"/>
    <w:rsid w:val="00877328"/>
    <w:rsid w:val="00880255"/>
    <w:rsid w:val="00880685"/>
    <w:rsid w:val="00881822"/>
    <w:rsid w:val="008833B5"/>
    <w:rsid w:val="00885F93"/>
    <w:rsid w:val="00886568"/>
    <w:rsid w:val="00891E02"/>
    <w:rsid w:val="00895A49"/>
    <w:rsid w:val="0089603F"/>
    <w:rsid w:val="008973AE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7A"/>
    <w:rsid w:val="00961FC4"/>
    <w:rsid w:val="0096299A"/>
    <w:rsid w:val="00962A1D"/>
    <w:rsid w:val="00962CB0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0CC5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A7ECD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46B4C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771"/>
    <w:rsid w:val="00A618B6"/>
    <w:rsid w:val="00A6197D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301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229C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3C33"/>
    <w:rsid w:val="00B046BD"/>
    <w:rsid w:val="00B05EE7"/>
    <w:rsid w:val="00B10CC9"/>
    <w:rsid w:val="00B11D2C"/>
    <w:rsid w:val="00B12656"/>
    <w:rsid w:val="00B13568"/>
    <w:rsid w:val="00B15830"/>
    <w:rsid w:val="00B1628C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3C41"/>
    <w:rsid w:val="00B35449"/>
    <w:rsid w:val="00B3705F"/>
    <w:rsid w:val="00B40198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122"/>
    <w:rsid w:val="00B91249"/>
    <w:rsid w:val="00B9183C"/>
    <w:rsid w:val="00B91B56"/>
    <w:rsid w:val="00B93B2D"/>
    <w:rsid w:val="00B93DAB"/>
    <w:rsid w:val="00B93E8E"/>
    <w:rsid w:val="00B9473E"/>
    <w:rsid w:val="00B97F29"/>
    <w:rsid w:val="00BA2007"/>
    <w:rsid w:val="00BA2D17"/>
    <w:rsid w:val="00BA5ADA"/>
    <w:rsid w:val="00BA77B6"/>
    <w:rsid w:val="00BB36D2"/>
    <w:rsid w:val="00BB66D9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2D07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1697"/>
    <w:rsid w:val="00CA23DA"/>
    <w:rsid w:val="00CA368B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CF75D9"/>
    <w:rsid w:val="00D0042F"/>
    <w:rsid w:val="00D035A2"/>
    <w:rsid w:val="00D04ADF"/>
    <w:rsid w:val="00D04D40"/>
    <w:rsid w:val="00D06251"/>
    <w:rsid w:val="00D131CD"/>
    <w:rsid w:val="00D1540A"/>
    <w:rsid w:val="00D16521"/>
    <w:rsid w:val="00D16DFB"/>
    <w:rsid w:val="00D17862"/>
    <w:rsid w:val="00D20079"/>
    <w:rsid w:val="00D2061D"/>
    <w:rsid w:val="00D2078B"/>
    <w:rsid w:val="00D20B82"/>
    <w:rsid w:val="00D21883"/>
    <w:rsid w:val="00D243CC"/>
    <w:rsid w:val="00D24925"/>
    <w:rsid w:val="00D24AE4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15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22B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2753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7A1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6BC0"/>
    <w:rsid w:val="00EF7A8B"/>
    <w:rsid w:val="00F02C4E"/>
    <w:rsid w:val="00F03FC1"/>
    <w:rsid w:val="00F04034"/>
    <w:rsid w:val="00F053A1"/>
    <w:rsid w:val="00F05B9F"/>
    <w:rsid w:val="00F07A5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A19"/>
    <w:rsid w:val="00F44DE4"/>
    <w:rsid w:val="00F47184"/>
    <w:rsid w:val="00F47681"/>
    <w:rsid w:val="00F47DF4"/>
    <w:rsid w:val="00F50DD8"/>
    <w:rsid w:val="00F511B7"/>
    <w:rsid w:val="00F513CB"/>
    <w:rsid w:val="00F51BC2"/>
    <w:rsid w:val="00F53213"/>
    <w:rsid w:val="00F53BA7"/>
    <w:rsid w:val="00F54A64"/>
    <w:rsid w:val="00F5583D"/>
    <w:rsid w:val="00F55EAE"/>
    <w:rsid w:val="00F565A4"/>
    <w:rsid w:val="00F57093"/>
    <w:rsid w:val="00F5709D"/>
    <w:rsid w:val="00F600B3"/>
    <w:rsid w:val="00F6048E"/>
    <w:rsid w:val="00F618C2"/>
    <w:rsid w:val="00F6217E"/>
    <w:rsid w:val="00F6271E"/>
    <w:rsid w:val="00F64C73"/>
    <w:rsid w:val="00F659F8"/>
    <w:rsid w:val="00F65D48"/>
    <w:rsid w:val="00F66AEA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4CD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467"/>
    <w:rsid w:val="00FB1E61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44AD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5B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88E9BB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  <w:style w:type="character" w:customStyle="1" w:styleId="TextkomenteChar1">
    <w:name w:val="Text komentáře Char1"/>
    <w:semiHidden/>
    <w:rsid w:val="001141E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AC5E-DCBD-4E8C-9C8D-9380C9FD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12</Pages>
  <Words>4415</Words>
  <Characters>26434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30788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</cp:revision>
  <cp:lastPrinted>2021-08-05T07:28:00Z</cp:lastPrinted>
  <dcterms:created xsi:type="dcterms:W3CDTF">2025-01-08T07:57:00Z</dcterms:created>
  <dcterms:modified xsi:type="dcterms:W3CDTF">2025-01-14T08:16:00Z</dcterms:modified>
</cp:coreProperties>
</file>